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Security Data Classification and Access Standard</w:t>
      </w:r>
    </w:p>
    <w:p>
      <w:pPr>
        <w:spacing w:after="200"/>
      </w:pPr>
      <w:r>
        <w:rPr>
          <w:i/>
          <w:color w:val="51606F"/>
        </w:rPr>
        <w:t>Enterprise data classification tiers, role-based access rules, and search index filtering standards.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DOC-SEC-CLASS-002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NSC-PLAT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M-012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2.1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2026-09-04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Restricted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GRP-SECURITY, GRP-LEADERS</w:t>
            </w:r>
          </w:p>
        </w:tc>
      </w:tr>
    </w:tbl>
    <w:p/>
    <w:p>
      <w:pPr>
        <w:pStyle w:val="Heading1"/>
      </w:pPr>
      <w:r>
        <w:t>Data Classification Levels</w:t>
      </w:r>
    </w:p>
    <w:p>
      <w:pPr>
        <w:pStyle w:val="ListBullet"/>
        <w:spacing w:after="60"/>
      </w:pPr>
      <w:r>
        <w:t>Level 1 - Public: Approved public marketing documentation, catalog specs, and public API reference.</w:t>
      </w:r>
    </w:p>
    <w:p>
      <w:pPr>
        <w:pStyle w:val="ListBullet"/>
        <w:spacing w:after="60"/>
      </w:pPr>
      <w:r>
        <w:t>Level 2 - Internal: Standard operational documentation, sprint plans, and internal engineering designs (accessible to GRP-ALL-STAFF).</w:t>
      </w:r>
    </w:p>
    <w:p>
      <w:pPr>
        <w:pStyle w:val="ListBullet"/>
        <w:spacing w:after="60"/>
      </w:pPr>
      <w:r>
        <w:t>Level 3 - Restricted: Security assessments, incident root-cause analyses, payment architecture, and vulnerability reports.</w:t>
      </w:r>
    </w:p>
    <w:p>
      <w:pPr>
        <w:pStyle w:val="ListBullet"/>
        <w:spacing w:after="60"/>
      </w:pPr>
      <w:r>
        <w:t>Level 4 - Customer Restricted: Merchant export datasets and tenant configuration accessible strictly to authorized merchant personnel.</w:t>
      </w:r>
    </w:p>
    <w:p>
      <w:pPr>
        <w:pStyle w:val="Heading1"/>
      </w:pPr>
      <w:r>
        <w:t>Search &amp; Vector Retrieval ACL Invariants</w:t>
      </w:r>
    </w:p>
    <w:p>
      <w:pPr>
        <w:pStyle w:val="ListBullet"/>
        <w:spacing w:after="60"/>
      </w:pPr>
      <w:r>
        <w:t>Access control lists (ACL) must be evaluated as a pre-filter before vector distance calculation and snippet extraction.</w:t>
      </w:r>
    </w:p>
    <w:p>
      <w:pPr>
        <w:pStyle w:val="ListBullet"/>
        <w:spacing w:after="60"/>
      </w:pPr>
      <w:r>
        <w:t>Under no circumstances may a search response expose document titles, summaries, or metadata for records the principal cannot access.</w:t>
      </w:r>
    </w:p>
    <w:p>
      <w:pPr>
        <w:pStyle w:val="ListBullet"/>
        <w:spacing w:after="60"/>
      </w:pPr>
      <w:r>
        <w:t>Documents with missing or unparseable ACL metadata must be quarantined immediately and excluded from query indexes.</w:t>
      </w:r>
    </w:p>
    <w:p>
      <w:pPr>
        <w:pStyle w:val="Heading1"/>
      </w:pPr>
      <w:r>
        <w:t>Offboarding &amp; Revocation Lifecycle</w:t>
      </w:r>
    </w:p>
    <w:p>
      <w:pPr>
        <w:pStyle w:val="ListBullet"/>
        <w:spacing w:after="60"/>
      </w:pPr>
      <w:r>
        <w:t>When a team member transitions to inactive status, all group memberships and active authentication tokens are revoked instantly.</w:t>
      </w:r>
    </w:p>
    <w:p>
      <w:pPr>
        <w:pStyle w:val="ListBullet"/>
        <w:spacing w:after="60"/>
      </w:pPr>
      <w:r>
        <w:t>Historical contributions (authorship, Jira changelogs) remain preserved for audit integrity, but current data access is denied.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Data Category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 Tier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Authorized Access Groups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Quarantine on Missing ACL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Product Requirements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GRP-ALL-STAFF, Project Squad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Yes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Security Audits &amp; RCAs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Restricted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GRP-SECURITY, GRP-LEADERS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Yes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Payment Gateway Credentials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Restricted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GRP-CHECKOUT, GRP-SECURITY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Yes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Merchant Private Exports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Customer Restricted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GRP-MERIDIAN, GRP-SUPPORT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Yes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DOC-SEC-CLASS-002  •  v2.1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