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t>Northstar Commerce Database Design and ERD</w:t>
      </w:r>
    </w:p>
    <w:p>
      <w:pPr>
        <w:spacing w:after="200"/>
      </w:pPr>
      <w:r>
        <w:rPr>
          <w:i/>
          <w:color w:val="51606F"/>
        </w:rPr>
        <w:t>Transactional entity boundaries, tenant keys, constraints, indexes, retention, migration sequencing, and recovery requirements.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vAlign w:val="center"/>
            <w:shd w:fill="16697A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Document ID</w:t>
            </w:r>
          </w:p>
        </w:tc>
        <w:tc>
          <w:tcPr>
            <w:tcW w:type="dxa" w:w="2498"/>
            <w:vAlign w:val="center"/>
            <w:shd w:fill="F1F5F8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DOC-ORG-DBD-001</w:t>
            </w:r>
          </w:p>
        </w:tc>
        <w:tc>
          <w:tcPr>
            <w:tcW w:type="dxa" w:w="2498"/>
            <w:vAlign w:val="center"/>
            <w:shd w:fill="16697A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Project</w:t>
            </w:r>
          </w:p>
        </w:tc>
        <w:tc>
          <w:tcPr>
            <w:tcW w:type="dxa" w:w="2498"/>
            <w:vAlign w:val="center"/>
            <w:shd w:fill="F1F5F8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Organization</w:t>
            </w:r>
          </w:p>
        </w:tc>
      </w:tr>
      <w:tr>
        <w:tc>
          <w:tcPr>
            <w:tcW w:type="dxa" w:w="2498"/>
            <w:vAlign w:val="center"/>
            <w:shd w:fill="16697A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Owner</w:t>
            </w:r>
          </w:p>
        </w:tc>
        <w:tc>
          <w:tcPr>
            <w:tcW w:type="dxa" w:w="2498"/>
            <w:vAlign w:val="center"/>
            <w:shd w:fill="F1F5F8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M-009</w:t>
            </w:r>
          </w:p>
        </w:tc>
        <w:tc>
          <w:tcPr>
            <w:tcW w:type="dxa" w:w="2498"/>
            <w:vAlign w:val="center"/>
            <w:shd w:fill="16697A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Version</w:t>
            </w:r>
          </w:p>
        </w:tc>
        <w:tc>
          <w:tcPr>
            <w:tcW w:type="dxa" w:w="2498"/>
            <w:vAlign w:val="center"/>
            <w:shd w:fill="F1F5F8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1.0</w:t>
            </w:r>
          </w:p>
        </w:tc>
      </w:tr>
      <w:tr>
        <w:tc>
          <w:tcPr>
            <w:tcW w:type="dxa" w:w="2498"/>
            <w:vAlign w:val="center"/>
            <w:shd w:fill="16697A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Updated</w:t>
            </w:r>
          </w:p>
        </w:tc>
        <w:tc>
          <w:tcPr>
            <w:tcW w:type="dxa" w:w="2498"/>
            <w:vAlign w:val="center"/>
            <w:shd w:fill="F1F5F8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2026-10-12</w:t>
            </w:r>
          </w:p>
        </w:tc>
        <w:tc>
          <w:tcPr>
            <w:tcW w:type="dxa" w:w="2498"/>
            <w:vAlign w:val="center"/>
            <w:shd w:fill="16697A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Status</w:t>
            </w:r>
          </w:p>
        </w:tc>
        <w:tc>
          <w:tcPr>
            <w:tcW w:type="dxa" w:w="2498"/>
            <w:vAlign w:val="center"/>
            <w:shd w:fill="F1F5F8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Approved</w:t>
            </w:r>
          </w:p>
        </w:tc>
      </w:tr>
      <w:tr>
        <w:tc>
          <w:tcPr>
            <w:tcW w:type="dxa" w:w="2498"/>
            <w:vAlign w:val="center"/>
            <w:shd w:fill="16697A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Classification</w:t>
            </w:r>
          </w:p>
        </w:tc>
        <w:tc>
          <w:tcPr>
            <w:tcW w:type="dxa" w:w="2498"/>
            <w:vAlign w:val="center"/>
            <w:shd w:fill="F1F5F8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Internal</w:t>
            </w:r>
          </w:p>
        </w:tc>
        <w:tc>
          <w:tcPr>
            <w:tcW w:type="dxa" w:w="2498"/>
            <w:vAlign w:val="center"/>
            <w:shd w:fill="16697A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Access Groups</w:t>
            </w:r>
          </w:p>
        </w:tc>
        <w:tc>
          <w:tcPr>
            <w:tcW w:type="dxa" w:w="2498"/>
            <w:vAlign w:val="center"/>
            <w:shd w:fill="F1F5F8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GRP-PLATFORM, GRP-SECURITY</w:t>
            </w:r>
          </w:p>
        </w:tc>
      </w:tr>
    </w:tbl>
    <w:p/>
    <w:p>
      <w:pPr>
        <w:pStyle w:val="Heading1"/>
      </w:pPr>
      <w:r>
        <w:t>Data ownership and relational model</w:t>
      </w:r>
    </w:p>
    <w:p>
      <w:pPr>
        <w:pStyle w:val="ListBullet"/>
        <w:spacing w:after="60"/>
      </w:pPr>
      <w:r>
        <w:t>The operational model separates Tenant, Principal, Product, ProductVariant, Cart, CheckoutSession, PaymentIntent, WebhookInbox, StockLedger, Reservation, Order, Shipment, ReturnAuthorization, Refund, and AuditEvent. Merchant-owned rows carry tenant_id; globally unique IDs do not replace tenant predicates.</w:t>
      </w:r>
    </w:p>
    <w:p>
      <w:pPr>
        <w:pStyle w:val="Heading1"/>
      </w:pPr>
      <w:r>
        <w:t>Integrity constraints and indexes</w:t>
      </w:r>
    </w:p>
    <w:p>
      <w:pPr>
        <w:pStyle w:val="ListBullet"/>
        <w:spacing w:after="60"/>
      </w:pPr>
      <w:r>
        <w:t>Enforce unique (tenant_id, merchant_sku), unique (tenant_id, idempotency_key_hash, operation), unique (tenant_id, provider_event_id), and foreign keys from child records to tenant-scoped parents. Index tenant_id with status/date for common queries. Use partial indexes for active reservations and unresolved reconciliation records.</w:t>
      </w:r>
    </w:p>
    <w:p>
      <w:pPr>
        <w:pStyle w:val="Heading1"/>
      </w:pPr>
      <w:r>
        <w:t>ERD and lifecycle</w:t>
      </w:r>
    </w:p>
    <w:p>
      <w:pPr>
        <w:pStyle w:val="ListBullet"/>
        <w:spacing w:after="60"/>
      </w:pPr>
      <w:r>
        <w:t>```mermaid</w:t>
        <w:br/>
        <w:t>erDiagram</w:t>
        <w:br/>
        <w:t xml:space="preserve">  TENANT ||--o{ PRODUCT : owns</w:t>
        <w:br/>
        <w:t xml:space="preserve">  PRODUCT ||--|{ PRODUCT_VARIANT : has</w:t>
        <w:br/>
        <w:t xml:space="preserve">  TENANT ||--o{ CART : owns</w:t>
        <w:br/>
        <w:t xml:space="preserve">  CART ||--o{ CART_LINE : contains</w:t>
        <w:br/>
        <w:t xml:space="preserve">  CHECKOUT_SESSION ||--o{ IDEMPOTENCY_RECORD : protects</w:t>
        <w:br/>
        <w:t xml:space="preserve">  PAYMENT_INTENT ||--o{ WEBHOOK_INBOX : receives</w:t>
        <w:br/>
        <w:t xml:space="preserve">  TENANT ||--o{ STOCK_LEDGER : scopes</w:t>
        <w:br/>
        <w:t xml:space="preserve">  STOCK_LEDGER ||--o{ RESERVATION : allocates</w:t>
        <w:br/>
        <w:t xml:space="preserve">  ORDER ||--|{ ORDER_LINE_SNAPSHOT : records</w:t>
        <w:br/>
        <w:t xml:space="preserve">  ORDER ||--o{ RETURN_AUTHORIZATION : permits</w:t>
        <w:br/>
        <w:t xml:space="preserve">  PAYMENT_INTENT ||--o{ REFUND : settles</w:t>
        <w:br/>
        <w:t>```</w:t>
      </w:r>
    </w:p>
    <w:p>
      <w:pPr>
        <w:pStyle w:val="Heading1"/>
      </w:pPr>
      <w:r>
        <w:t>Concurrency and consistency</w:t>
      </w:r>
    </w:p>
    <w:p>
      <w:pPr>
        <w:pStyle w:val="ListBullet"/>
        <w:spacing w:after="60"/>
      </w:pPr>
      <w:r>
        <w:t>Money is integer minor units. Reservation and coupon redemption use database transactions and unique constraints, not read-then-write checks alone. Webhook inbox insertion and payment state transition commit atomically. Order snapshots are immutable; corrections create compensating entries.</w:t>
      </w:r>
    </w:p>
    <w:p>
      <w:pPr>
        <w:pStyle w:val="Heading1"/>
      </w:pPr>
      <w:r>
        <w:t>Retention and privacy</w:t>
      </w:r>
    </w:p>
    <w:p>
      <w:pPr>
        <w:pStyle w:val="ListBullet"/>
        <w:spacing w:after="60"/>
      </w:pPr>
      <w:r>
        <w:t>Operational retention follows the security classification standard and applicable fictional pilot policy. Analytics receives masked identifiers and tenant-scoped views. PAN/CVV are prohibited. Audit and financial records have explicit retention owners; deletion requests preserve legally required transaction evidence while minimizing personal data.</w:t>
      </w:r>
    </w:p>
    <w:p>
      <w:pPr>
        <w:pStyle w:val="Heading1"/>
      </w:pPr>
      <w:r>
        <w:t>Migration and rollback</w:t>
      </w:r>
    </w:p>
    <w:p>
      <w:pPr>
        <w:pStyle w:val="ListBullet"/>
        <w:spacing w:after="60"/>
      </w:pPr>
      <w:r>
        <w:t>Use expand/contract: add nullable columns/tables and indexes concurrently, deploy compatible readers/writers, backfill in bounded batches, verify counts, then remove old fields in a later release. Each migration has a tested down/forward recovery note; destructive data transformations require a backup and explicit sign-off.</w:t>
      </w:r>
    </w:p>
    <w:p>
      <w:pPr>
        <w:pStyle w:val="Heading1"/>
      </w:pPr>
      <w:r>
        <w:t>Reference Table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vAlign w:val="center"/>
            <w:shd w:fill="16324F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Entity</w:t>
            </w:r>
          </w:p>
        </w:tc>
        <w:tc>
          <w:tcPr>
            <w:tcW w:type="dxa" w:w="3331"/>
            <w:vAlign w:val="center"/>
            <w:shd w:fill="16324F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Tenant key</w:t>
            </w:r>
          </w:p>
        </w:tc>
        <w:tc>
          <w:tcPr>
            <w:tcW w:type="dxa" w:w="3331"/>
            <w:vAlign w:val="center"/>
            <w:shd w:fill="16324F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Important constraint</w:t>
            </w:r>
          </w:p>
        </w:tc>
      </w:tr>
      <w:tr>
        <w:tc>
          <w:tcPr>
            <w:tcW w:type="dxa" w:w="3331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ProductVariant</w:t>
            </w:r>
          </w:p>
        </w:tc>
        <w:tc>
          <w:tcPr>
            <w:tcW w:type="dxa" w:w="3331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tenant_id</w:t>
            </w:r>
          </w:p>
        </w:tc>
        <w:tc>
          <w:tcPr>
            <w:tcW w:type="dxa" w:w="3331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Unique merchant SKU per tenant</w:t>
            </w:r>
          </w:p>
        </w:tc>
      </w:tr>
      <w:tr>
        <w:tc>
          <w:tcPr>
            <w:tcW w:type="dxa" w:w="3331"/>
            <w:vAlign w:val="center"/>
            <w:shd w:fill="F1F5F8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IdempotencyRecord</w:t>
            </w:r>
          </w:p>
        </w:tc>
        <w:tc>
          <w:tcPr>
            <w:tcW w:type="dxa" w:w="3331"/>
            <w:vAlign w:val="center"/>
            <w:shd w:fill="F1F5F8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tenant_id</w:t>
            </w:r>
          </w:p>
        </w:tc>
        <w:tc>
          <w:tcPr>
            <w:tcW w:type="dxa" w:w="3331"/>
            <w:vAlign w:val="center"/>
            <w:shd w:fill="F1F5F8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Key plus operation and payload hash</w:t>
            </w:r>
          </w:p>
        </w:tc>
      </w:tr>
      <w:tr>
        <w:tc>
          <w:tcPr>
            <w:tcW w:type="dxa" w:w="3331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WebhookInbox</w:t>
            </w:r>
          </w:p>
        </w:tc>
        <w:tc>
          <w:tcPr>
            <w:tcW w:type="dxa" w:w="3331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tenant_id</w:t>
            </w:r>
          </w:p>
        </w:tc>
        <w:tc>
          <w:tcPr>
            <w:tcW w:type="dxa" w:w="3331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Unique provider event ID</w:t>
            </w:r>
          </w:p>
        </w:tc>
      </w:tr>
      <w:tr>
        <w:tc>
          <w:tcPr>
            <w:tcW w:type="dxa" w:w="3331"/>
            <w:vAlign w:val="center"/>
            <w:shd w:fill="F1F5F8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Reservation</w:t>
            </w:r>
          </w:p>
        </w:tc>
        <w:tc>
          <w:tcPr>
            <w:tcW w:type="dxa" w:w="3331"/>
            <w:vAlign w:val="center"/>
            <w:shd w:fill="F1F5F8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tenant_id</w:t>
            </w:r>
          </w:p>
        </w:tc>
        <w:tc>
          <w:tcPr>
            <w:tcW w:type="dxa" w:w="3331"/>
            <w:vAlign w:val="center"/>
            <w:shd w:fill="F1F5F8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Atomic quantity and expiry</w:t>
            </w:r>
          </w:p>
        </w:tc>
      </w:tr>
      <w:tr>
        <w:tc>
          <w:tcPr>
            <w:tcW w:type="dxa" w:w="3331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Order</w:t>
            </w:r>
          </w:p>
        </w:tc>
        <w:tc>
          <w:tcPr>
            <w:tcW w:type="dxa" w:w="3331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tenant_id</w:t>
            </w:r>
          </w:p>
        </w:tc>
        <w:tc>
          <w:tcPr>
            <w:tcW w:type="dxa" w:w="3331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Immutable purchase snapshots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36" w:right="1123" w:bottom="936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97784"/>
        <w:sz w:val="16"/>
      </w:rPr>
      <w:t>Synthetic demo material  •  DOC-ORG-DBD-001  •  v1.0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697784"/>
        <w:sz w:val="16"/>
      </w:rPr>
      <w:t>NORTHSTAR COMMERCE SYSTEMS   /   SYNTHETIC ENTERPRISE DATASET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23303E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6324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6324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2026-10-12T00:00:00Z</dcterms:created>
  <dcterms:modified xsi:type="dcterms:W3CDTF">2026-10-12T00:00:00Z</dcterms:modified>
  <cp:category/>
</cp:coreProperties>
</file>