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Northstar Commerce Requirements and Design Specification</w:t>
      </w:r>
    </w:p>
    <w:p>
      <w:pPr>
        <w:spacing w:after="200"/>
      </w:pPr>
      <w:r>
        <w:rPr>
          <w:i/>
          <w:color w:val="51606F"/>
        </w:rPr>
        <w:t>Consolidated submission view linking the approved SRS requirements to SDS design decisions, database entities, API contracts, backlog, and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DOC-ORG-RDS-001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Organization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Document control and purpose</w:t>
      </w:r>
    </w:p>
    <w:p>
      <w:pPr>
        <w:pStyle w:val="ListBullet"/>
        <w:spacing w:after="60"/>
      </w:pPr>
      <w:r>
        <w:t>This RDS is a consolidated review and submission artifact for the software project. It does not establish a second requirement source. SRS owns requirement statements and IDs; SDS owns design decisions and component behavior; detailed API and database documents own their contracts.</w:t>
      </w:r>
    </w:p>
    <w:p>
      <w:pPr>
        <w:pStyle w:val="Heading1"/>
      </w:pPr>
      <w:r>
        <w:t>Requirement baseline</w:t>
      </w:r>
    </w:p>
    <w:p>
      <w:pPr>
        <w:pStyle w:val="ListBullet"/>
        <w:spacing w:after="60"/>
      </w:pPr>
      <w:r>
        <w:t>The approved baseline contains the requirements in structured/requirements.jsonl. Each record has a stable identifier, statement, priority, acceptance criteria, owner, project scope, source issue, and verification test IDs. Organization-level non-functional requirements apply to every workstream unless a project annex states a stricter constraint.</w:t>
      </w:r>
    </w:p>
    <w:p>
      <w:pPr>
        <w:pStyle w:val="Heading1"/>
      </w:pPr>
      <w:r>
        <w:t>Design baseline</w:t>
      </w:r>
    </w:p>
    <w:p>
      <w:pPr>
        <w:pStyle w:val="ListBullet"/>
        <w:spacing w:after="60"/>
      </w:pPr>
      <w:r>
        <w:t>The design baseline is DOC-ORG-SDS-001 and the component-specific architecture/ADR documents. The system is a modular multi-tenant commerce platform with explicit service ownership, tenant-bound APIs, asynchronous events, and append-only audit evidence.</w:t>
      </w:r>
    </w:p>
    <w:p>
      <w:pPr>
        <w:pStyle w:val="Heading1"/>
      </w:pPr>
      <w:r>
        <w:t>Data/API realization</w:t>
      </w:r>
    </w:p>
    <w:p>
      <w:pPr>
        <w:pStyle w:val="ListBullet"/>
        <w:spacing w:after="60"/>
      </w:pPr>
      <w:r>
        <w:t>Database entities and constraints are defined in DOC-ORG-DBD-001. External and internal endpoints are indexed in DOC-ORG-API-001; detailed Checkout and PulsePay contracts remain the lower-level sources. Any schema or endpoint change must update its contract and the linked requirement trace.</w:t>
      </w:r>
    </w:p>
    <w:p>
      <w:pPr>
        <w:pStyle w:val="Heading1"/>
      </w:pPr>
      <w:r>
        <w:t>Verification and acceptance</w:t>
      </w:r>
    </w:p>
    <w:p>
      <w:pPr>
        <w:pStyle w:val="ListBullet"/>
        <w:spacing w:after="60"/>
      </w:pPr>
      <w:r>
        <w:t>DOC-ORG-RTM-001 maps each requirement to Jira source, design/data/API references, functional tests, and the latest simulated execution result. The master test plan defines test levels and exit criteria; UAT evidence is reported separately.</w:t>
      </w:r>
    </w:p>
    <w:p>
      <w:pPr>
        <w:pStyle w:val="Heading1"/>
      </w:pPr>
      <w:r>
        <w:t>Traceability rule</w:t>
      </w:r>
    </w:p>
    <w:p>
      <w:pPr>
        <w:pStyle w:val="ListBullet"/>
        <w:spacing w:after="60"/>
      </w:pPr>
      <w:r>
        <w:t>The review package is complete only when every approved requirement has an owner, acceptance criteria, at least one test, and a known release disposition. A missing link is recorded as a gap; reviewers must not infer a pass from the presence of a document.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Source of truth</w:t>
            </w:r>
          </w:p>
        </w:tc>
        <w:tc>
          <w:tcPr>
            <w:tcW w:type="dxa" w:w="3331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Linked artifact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Requirement statement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SRS / structured requirements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Project annex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Architecture and behavior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SDS / approved ADRs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Component design</w:t>
            </w:r>
          </w:p>
        </w:tc>
      </w:tr>
      <w:tr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API contract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API Specification</w:t>
            </w:r>
          </w:p>
        </w:tc>
        <w:tc>
          <w:tcPr>
            <w:tcW w:type="dxa" w:w="3331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Checkout/PulsePay contract</w:t>
            </w:r>
          </w:p>
        </w:tc>
      </w:tr>
      <w:tr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Verification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RTM and functional cases</w:t>
            </w:r>
          </w:p>
        </w:tc>
        <w:tc>
          <w:tcPr>
            <w:tcW w:type="dxa" w:w="3331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Execution report and UAT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DOC-ORG-RDS-001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