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Architected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 and Python FastAPI, serving 1,000+ users with intelligent automation workflows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agentic systems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and multi-step reasoning for automated content extraction, achieving 60% reduction in user comprehension time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production AI infrastructure</w:t>
      </w:r>
      <w:r>
        <w:rPr>
          <w:sz w:val="20"/>
        </w:rPr>
        <w:t xml:space="preserve"> with comprehensive monitoring, Redis caching, and error handling ensuring 99%+ uptime and sub-200ms response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multi-agent trading systems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agentic frameworks</w:t>
      </w:r>
      <w:r>
        <w:rPr>
          <w:sz w:val="20"/>
        </w:rPr>
        <w:t xml:space="preserve"> and Transformer architectures, optimizing execution strategies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intelligent automation pipelines</w:t>
      </w:r>
      <w:r>
        <w:rPr>
          <w:sz w:val="20"/>
        </w:rPr>
        <w:t xml:space="preserve"> with reinforcement learning on AWS infrastructure, reducing system latency by 25% for high-frequency trading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improvement through </w:t>
      </w:r>
      <w:r>
        <w:rPr>
          <w:sz w:val="20"/>
          <w:b/>
          <w:bCs/>
        </w:rPr>
        <w:t xml:space="preserve">AI agent orchestration</w:t>
      </w:r>
      <w:r>
        <w:rPr>
          <w:sz w:val="20"/>
        </w:rPr>
        <w:t xml:space="preserve">, consistently outperforming traditional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production AI deployments</w:t>
      </w:r>
      <w:r>
        <w:rPr>
          <w:sz w:val="20"/>
        </w:rPr>
        <w:t xml:space="preserve"> with automated user onboarding systems, successfully scaling to 750+ institutional users generating 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on AWS using MLflow and FastAPI for real-time predictions in production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AI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JAX, TensorFlow, LangChain, LlamaIndex, AutoGen, CrewAI, Semantic Kernel, Hugging Face, OpenAI API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