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web summaries.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async processing for enhanced UX.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 3-point summaries</w:t>
      </w:r>
      <w:r>
        <w:rPr>
          <w:sz w:val="20"/>
        </w:rPr>
        <w:t xml:space="preserve"> and contextually relevant AI-generated images.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deep-learning multi-agent</w:t>
      </w:r>
      <w:r>
        <w:rPr>
          <w:sz w:val="20"/>
        </w:rPr>
        <w:t xml:space="preserve"> trading system using PPO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on AWS infrastructure.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AWS Graviton processors, reducing system latency by 25% while processing high-frequency data.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 and 12% reduction in transaction costs, consistently </w:t>
      </w:r>
      <w:r>
        <w:rPr>
          <w:sz w:val="20"/>
          <w:b/>
          <w:bCs/>
        </w:rPr>
        <w:t xml:space="preserve">outperforming TWAP/VWAP benchmarks</w:t>
      </w:r>
      <w:r>
        <w:rPr>
          <w:sz w:val="20"/>
        </w:rPr>
        <w:t xml:space="preserve"> in trading execution.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, successfully onboarding 750+ institutional users generating $15K revenue.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 rates.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 for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and FastAPI for real-time predictions and automated inference systems.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 development</w:t>
      </w:r>
      <w:r>
        <w:rPr>
          <w:sz w:val="20"/>
        </w:rPr>
        <w:t xml:space="preserve"> and automated testing frameworks for production machine learning systems.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Hugging Face Transformers, SpaCy, NLTK, OpenAI API,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