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Architected </w:t>
      </w:r>
      <w:r>
        <w:rPr>
          <w:sz w:val="20"/>
          <w:b/>
          <w:bCs/>
        </w:rPr>
        <w:t xml:space="preserve">AI-powered agent system</w:t>
      </w:r>
      <w:r>
        <w:rPr>
          <w:sz w:val="20"/>
        </w:rPr>
        <w:t xml:space="preserve"> with Python FastAPI backend and </w:t>
      </w:r>
      <w:r>
        <w:rPr>
          <w:sz w:val="20"/>
          <w:b/>
          <w:bCs/>
        </w:rPr>
        <w:t xml:space="preserve">LangChain orchestration</w:t>
      </w:r>
      <w:r>
        <w:rPr>
          <w:sz w:val="20"/>
        </w:rPr>
        <w:t xml:space="preserve">, implementing hierarchical state machines for 1,000+ daily users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agent personality framework</w:t>
      </w:r>
      <w:r>
        <w:rPr>
          <w:sz w:val="20"/>
        </w:rPr>
        <w:t xml:space="preserve"> utilizing OpenAI APIs with </w:t>
      </w:r>
      <w:r>
        <w:rPr>
          <w:sz w:val="20"/>
          <w:b/>
          <w:bCs/>
        </w:rPr>
        <w:t xml:space="preserve">clinical safety protocols</w:t>
      </w:r>
      <w:r>
        <w:rPr>
          <w:sz w:val="20"/>
        </w:rPr>
        <w:t xml:space="preserve"> and contextual instruction injection for healthcare workflows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</w:t>
      </w:r>
      <w:r>
        <w:rPr>
          <w:sz w:val="20"/>
          <w:b/>
          <w:bCs/>
        </w:rPr>
        <w:t xml:space="preserve">dynamic behavior sets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context graph optimization</w:t>
      </w:r>
      <w:r>
        <w:rPr>
          <w:sz w:val="20"/>
        </w:rPr>
        <w:t xml:space="preserve"> with advanced NLP-powered content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multi-agent trading system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hierarchical state machines</w:t>
      </w:r>
      <w:r>
        <w:rPr>
          <w:sz w:val="20"/>
        </w:rPr>
        <w:t xml:space="preserve"> and Transformer architectures on AWS infrastructure for institutional clients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agent evaluation frameworks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simulation algorithms</w:t>
      </w:r>
      <w:r>
        <w:rPr>
          <w:sz w:val="20"/>
        </w:rPr>
        <w:t xml:space="preserve"> and GPU clusters, reducing system latency by 25% while processing high-frequency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performance with 10% reduction in slippage through </w:t>
      </w:r>
      <w:r>
        <w:rPr>
          <w:sz w:val="20"/>
          <w:b/>
          <w:bCs/>
        </w:rPr>
        <w:t xml:space="preserve">agent personality optimization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dynamic behavior calibration</w:t>
      </w:r>
      <w:r>
        <w:rPr>
          <w:sz w:val="20"/>
        </w:rPr>
        <w:t xml:space="preserve"> systems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initiatives implementing </w:t>
      </w:r>
      <w:r>
        <w:rPr>
          <w:sz w:val="20"/>
          <w:b/>
          <w:bCs/>
        </w:rPr>
        <w:t xml:space="preserve">automated user onboarding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context-aware agents</w:t>
      </w:r>
      <w:r>
        <w:rPr>
          <w:sz w:val="20"/>
        </w:rPr>
        <w:t xml:space="preserve">, onboarding 750+ users and generating $15,000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TensorFlow and PyTorch,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AWS using MLflow and FastAPI for real-time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 development</w:t>
      </w:r>
      <w:r>
        <w:rPr>
          <w:sz w:val="20"/>
        </w:rPr>
        <w:t xml:space="preserve"> and automated testing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LangChain, LangGraph, OpenAI API, Hugging Face, Pydantic, SpaCy, NLTK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