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RAG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embedding-based search integration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AI-generated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Transformer architectures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pipelines with AWS Graviton processors, reducing system latency by 25% while processing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transaction costs,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</w:t>
      </w:r>
      <w:r>
        <w:rPr>
          <w:sz w:val="20"/>
        </w:rPr>
        <w:t xml:space="preserve"> growth initiatives implementing automated user onboarding strategies, successfully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</w:t>
      </w:r>
      <w:r>
        <w:rPr>
          <w:sz w:val="20"/>
          <w:b/>
          <w:bCs/>
        </w:rPr>
        <w:t xml:space="preserve">forecasting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MLOps</w:t>
      </w:r>
      <w:r>
        <w:rPr>
          <w:sz w:val="20"/>
        </w:rPr>
        <w:t xml:space="preserve"> pipeline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TypeScript, C/C++, Java, Go, R,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 Transformers,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