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practices, achieving 10% slippage reduction and 5% price impact improvement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Integrated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infrastructure, reducing latency through optimized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techniques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Executed </w:t>
      </w:r>
      <w:r>
        <w:rPr>
          <w:sz w:val="20"/>
          <w:b/>
          <w:bCs/>
        </w:rPr>
        <w:t xml:space="preserve">full lifecycle model development</w:t>
      </w:r>
      <w:r>
        <w:rPr>
          <w:sz w:val="20"/>
        </w:rPr>
        <w:t xml:space="preserve"> with comprehensive </w:t>
      </w:r>
      <w:r>
        <w:rPr>
          <w:sz w:val="20"/>
          <w:b/>
          <w:bCs/>
        </w:rPr>
        <w:t xml:space="preserve">model verification plans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quality assurance procedures</w:t>
      </w:r>
      <w:r>
        <w:rPr>
          <w:sz w:val="20"/>
        </w:rPr>
        <w:t xml:space="preserve"> for production systems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detailed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while implementing </w:t>
      </w:r>
      <w:r>
        <w:rPr>
          <w:sz w:val="20"/>
          <w:b/>
          <w:bCs/>
        </w:rPr>
        <w:t xml:space="preserve">troubleshooting</w:t>
      </w:r>
      <w:r>
        <w:rPr>
          <w:sz w:val="20"/>
        </w:rPr>
        <w:t xml:space="preserve"> protocols for cross-functional ML system support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