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scalable, distributed AI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, serving 750+ users and $15K revenue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production-grade ML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 integration, achieving 10% slippage reduction and 12% cost optimization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real-time inference systems</w:t>
      </w:r>
      <w:r>
        <w:rPr>
          <w:sz w:val="20"/>
        </w:rPr>
        <w:t xml:space="preserve"> outperforming industry benchmarks, demonstrating strong </w:t>
      </w:r>
      <w:r>
        <w:rPr>
          <w:sz w:val="20"/>
          <w:b/>
          <w:bCs/>
        </w:rPr>
        <w:t xml:space="preserve">product-minded engineering</w:t>
      </w:r>
      <w:r>
        <w:rPr>
          <w:sz w:val="20"/>
        </w:rPr>
        <w:t xml:space="preserve"> approach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</w:t>
      </w:r>
      <w:r>
        <w:rPr>
          <w:sz w:val="20"/>
          <w:b/>
          <w:bCs/>
        </w:rPr>
        <w:t xml:space="preserve">technical documentation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reports</w:t>
      </w:r>
      <w:r>
        <w:rPr>
          <w:sz w:val="20"/>
        </w:rPr>
        <w:t xml:space="preserve"> for cross-functional teams, ensuring </w:t>
      </w:r>
      <w:r>
        <w:rPr>
          <w:sz w:val="20"/>
          <w:b/>
          <w:bCs/>
        </w:rPr>
        <w:t xml:space="preserve">scalable software solutions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C/C++, SQL, JavaScript, HTML/CSS, FastAPI, Flask, React, Node.js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LangChain, LangGraph, Hugging Face, OpenAI APIs, vLLM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