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Generative AI-powered</w:t>
      </w:r>
      <w:r>
        <w:rPr>
          <w:sz w:val="20"/>
        </w:rPr>
        <w:t xml:space="preserve"> Chrome extension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transformer-based</w:t>
      </w:r>
      <w:r>
        <w:rPr>
          <w:sz w:val="20"/>
        </w:rPr>
        <w:t xml:space="preserve"> architecture utilizing </w:t>
      </w:r>
      <w:r>
        <w:rPr>
          <w:sz w:val="20"/>
          <w:b/>
          <w:bCs/>
        </w:rPr>
        <w:t xml:space="preserve">OpenAI LLMs</w:t>
      </w:r>
      <w:r>
        <w:rPr>
          <w:sz w:val="20"/>
        </w:rPr>
        <w:t xml:space="preserve"> (GPT-3.5, DALL-E) with JavaScript frontend and embedding-based search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comprehension time through advanced </w:t>
      </w:r>
      <w:r>
        <w:rPr>
          <w:sz w:val="20"/>
          <w:b/>
          <w:bCs/>
        </w:rPr>
        <w:t xml:space="preserve">NLP-powered summarization</w:t>
      </w:r>
      <w:r>
        <w:rPr>
          <w:sz w:val="20"/>
        </w:rPr>
        <w:t xml:space="preserve"> and contextually relevant AI-generated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and reinforcement learning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with AWS Graviton processors and GPU clusters, reducing system latency by 25% while processing high-frequency trading data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and 12% reduction in transaction costs, consistently outperforming </w:t>
      </w:r>
      <w:r>
        <w:rPr>
          <w:sz w:val="20"/>
          <w:b/>
          <w:bCs/>
        </w:rPr>
        <w:t xml:space="preserve">statistical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</w:t>
      </w:r>
      <w:r>
        <w:rPr>
          <w:sz w:val="20"/>
          <w:b/>
          <w:bCs/>
        </w:rPr>
        <w:t xml:space="preserve">MLOps initiatives</w:t>
      </w:r>
      <w:r>
        <w:rPr>
          <w:sz w:val="20"/>
        </w:rPr>
        <w:t xml:space="preserve"> implementing automated user onboarding strategies, successfully onboarding 750+ institutional users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 Transformers, LangChain, LangGraph, OpenAI API,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