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and Google Custom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 images</w:t>
      </w:r>
      <w:r>
        <w:rPr>
          <w:sz w:val="20"/>
        </w:rPr>
        <w:t xml:space="preserve"> for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reinforcement learning</w:t>
      </w:r>
      <w:r>
        <w:rPr>
          <w:sz w:val="20"/>
        </w:rPr>
        <w:t xml:space="preserve"> pipelines with AWS Graviton processors and GPU clusters, reducing system latency by 25% while processing </w:t>
      </w:r>
      <w:r>
        <w:rPr>
          <w:sz w:val="20"/>
          <w:b/>
          <w:bCs/>
        </w:rPr>
        <w:t xml:space="preserve">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</w:t>
      </w:r>
      <w:r>
        <w:rPr>
          <w:sz w:val="20"/>
          <w:b/>
          <w:bCs/>
        </w:rPr>
        <w:t xml:space="preserve">transaction costs</w:t>
      </w:r>
      <w:r>
        <w:rPr>
          <w:sz w:val="20"/>
        </w:rPr>
        <w:t xml:space="preserve">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institutional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AWS using MLflow and FastAPI for real-time predictions with automated testing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production system automation for scalable deployments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Java, SQL, C/C++,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OpenAI API, LangChain, LangGraph, Hugging Face, SpaCy, NLTK,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