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large-scale transaction processing</w:t>
      </w:r>
      <w:r>
        <w:rPr>
          <w:sz w:val="20"/>
        </w:rPr>
        <w:t xml:space="preserve"> system using </w:t>
      </w:r>
      <w:r>
        <w:rPr>
          <w:sz w:val="20"/>
          <w:b/>
          <w:bCs/>
        </w:rPr>
        <w:t xml:space="preserve">distributed ML</w:t>
      </w:r>
      <w:r>
        <w:rPr>
          <w:sz w:val="20"/>
        </w:rPr>
        <w:t xml:space="preserve"> pipelines and </w:t>
      </w:r>
      <w:r>
        <w:rPr>
          <w:sz w:val="20"/>
          <w:b/>
          <w:bCs/>
        </w:rPr>
        <w:t xml:space="preserve">microservices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real-time risk detection</w:t>
      </w:r>
      <w:r>
        <w:rPr>
          <w:sz w:val="20"/>
        </w:rPr>
        <w:t xml:space="preserve"> system with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algorithms, achieving 10% slippage reduction and $15K revenue growth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DevOps pipelines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systems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improving system efficiency and reducing latency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stream-processing</w:t>
      </w:r>
      <w:r>
        <w:rPr>
          <w:sz w:val="20"/>
        </w:rPr>
        <w:t xml:space="preserve"> capabilities for trade execution, outperforming TWAP/VWAP benchmarks by 12%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