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GenAI-focused application</w:t>
      </w:r>
      <w:r>
        <w:rPr>
          <w:sz w:val="20"/>
        </w:rPr>
        <w:t xml:space="preserve"> with Python FastAPI backend and </w:t>
      </w:r>
      <w:r>
        <w:rPr>
          <w:sz w:val="20"/>
          <w:b/>
          <w:bCs/>
        </w:rPr>
        <w:t xml:space="preserve">LangChain agents</w:t>
      </w:r>
      <w:r>
        <w:rPr>
          <w:sz w:val="20"/>
        </w:rPr>
        <w:t xml:space="preserve">, serving 1,000+ daily users with intelligent reasoning workflows for automated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LLM model</w:t>
      </w:r>
      <w:r>
        <w:rPr>
          <w:sz w:val="20"/>
        </w:rPr>
        <w:t xml:space="preserve"> architecture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async processing, and Google Custom Search integration for enhanced user experience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AI-generated images for complex web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deep-learning multi-agent</w:t>
      </w:r>
      <w:r>
        <w:rPr>
          <w:sz w:val="20"/>
        </w:rPr>
        <w:t xml:space="preserve"> trading system using PPO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, optimizing execution strategies on AWS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scalable data pipelines</w:t>
      </w:r>
      <w:r>
        <w:rPr>
          <w:sz w:val="20"/>
        </w:rPr>
        <w:t xml:space="preserve"> with AWS Graviton processors and GPU clusters, reducing system latency by 25% while processing high-frequency trading data at scale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frameworks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</w:t>
      </w:r>
      <w:r>
        <w:rPr>
          <w:sz w:val="20"/>
          <w:b/>
          <w:bCs/>
        </w:rPr>
        <w:t xml:space="preserve">model performance</w:t>
      </w:r>
      <w:r>
        <w:rPr>
          <w:sz w:val="20"/>
        </w:rPr>
        <w:t xml:space="preserve"> with 10% reduction in slippage, 5% improvement in price impact, and 12% reduction in transaction costs, consistently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cross-functional growth</w:t>
      </w:r>
      <w:r>
        <w:rPr>
          <w:sz w:val="20"/>
        </w:rPr>
        <w:t xml:space="preserve"> initiatives implementing automated user onboarding and personalized strategies, successfully onboarding 750+ institutional users and generating $15,000 in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 rates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 for production systems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on AWS using MLflow and FastAPI for real-time predictions in scalable cloud infrastructure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CI/CD pipeline development and automated testing for </w:t>
      </w:r>
      <w:r>
        <w:rPr>
          <w:sz w:val="20"/>
          <w:b/>
          <w:bCs/>
        </w:rPr>
        <w:t xml:space="preserve">production deployment</w:t>
      </w:r>
      <w:r>
        <w:rPr>
          <w:sz w:val="20"/>
        </w:rPr>
        <w:t xml:space="preserve"> of machine learning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Jax, LangChain, LangGraph, Hugging Face, OpenAI API, Scikit-Learn, XGBoost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