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production-grade AI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and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</w:t>
      </w:r>
      <w:r>
        <w:rPr>
          <w:sz w:val="20"/>
          <w:b/>
          <w:bCs/>
        </w:rPr>
        <w:t xml:space="preserve">contextually relevant 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for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slippage, 5% improvement in price impact, and 12% reduction in transaction costs, outperforming </w:t>
      </w:r>
      <w:r>
        <w:rPr>
          <w:sz w:val="20"/>
          <w:b/>
          <w:bCs/>
        </w:rPr>
        <w:t xml:space="preserve">TWAP/VWAP benchmarks</w:t>
      </w:r>
      <w:r>
        <w:rPr>
          <w:sz w:val="20"/>
        </w:rPr>
        <w:t xml:space="preserve"> consistently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strategies, successfully onboarding 750+ institutional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Kubernetes, reducing data processing time by 30% for production systems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 and automated inference workflows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frameworks for production machine learning systems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LangChain, OpenAI API, Hugging Face, SpaCy, NLTK, XGBoost, LightGBM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