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full-stack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</w:t>
      </w:r>
      <w:r>
        <w:rPr>
          <w:sz w:val="20"/>
          <w:b/>
          <w:bCs/>
        </w:rPr>
        <w:t xml:space="preserve">async processing</w:t>
      </w:r>
      <w:r>
        <w:rPr>
          <w:sz w:val="20"/>
        </w:rPr>
        <w:t xml:space="preserve"> and Google Custom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images for complex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</w:t>
      </w:r>
      <w:r>
        <w:rPr>
          <w:sz w:val="20"/>
        </w:rPr>
        <w:t xml:space="preserve"> architectures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 for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processors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</w:t>
      </w:r>
      <w:r>
        <w:rPr>
          <w:sz w:val="20"/>
          <w:b/>
          <w:bCs/>
        </w:rPr>
        <w:t xml:space="preserve">transaction costs</w:t>
      </w:r>
      <w:r>
        <w:rPr>
          <w:sz w:val="20"/>
        </w:rPr>
        <w:t xml:space="preserve"> vs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institutional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R, Golang, C#, HTML/CSS, Bash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OpenAI, Claude, Gemini, LangChain, Agents, Vector databases, Hugging Face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