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LLM-powered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users with intelligent web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RAG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processing, and semantic search integration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</w:t>
      </w:r>
      <w:r>
        <w:rPr>
          <w:sz w:val="20"/>
          <w:b/>
          <w:bCs/>
        </w:rPr>
        <w:t xml:space="preserve">contextually relevant</w:t>
      </w:r>
      <w:r>
        <w:rPr>
          <w:sz w:val="20"/>
        </w:rPr>
        <w:t xml:space="preserve"> AI-generated images for complex web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</w:t>
      </w:r>
      <w:r>
        <w:rPr>
          <w:sz w:val="20"/>
        </w:rPr>
        <w:t xml:space="preserve"> distributed deep-learning multi-agent trading system using </w:t>
      </w:r>
      <w:r>
        <w:rPr>
          <w:sz w:val="20"/>
          <w:b/>
          <w:bCs/>
        </w:rPr>
        <w:t xml:space="preserve">PPO and Transformer</w:t>
      </w:r>
      <w:r>
        <w:rPr>
          <w:sz w:val="20"/>
        </w:rPr>
        <w:t xml:space="preserve"> architectures, optimizing execution strategies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processors and GPU clusters, reducing system latency by 25% while processing high-frequency trading data at enterprise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</w:t>
      </w:r>
      <w:r>
        <w:rPr>
          <w:sz w:val="20"/>
          <w:b/>
          <w:bCs/>
        </w:rPr>
        <w:t xml:space="preserve">outperforming TWAP/VWAP</w:t>
      </w:r>
      <w:r>
        <w:rPr>
          <w:sz w:val="20"/>
        </w:rPr>
        <w:t xml:space="preserve"> benchmarks through </w:t>
      </w:r>
      <w:r>
        <w:rPr>
          <w:sz w:val="20"/>
          <w:b/>
          <w:bCs/>
        </w:rPr>
        <w:t xml:space="preserve">query optimization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 in production environments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scalable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LLMs, RAG, OpenAI API, LangChain,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