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</w:t>
      </w:r>
      <w:r>
        <w:rPr>
          <w:sz w:val="20"/>
          <w:b/>
          <w:bCs/>
        </w:rPr>
        <w:t xml:space="preserve">JavaScript</w:t>
      </w:r>
      <w:r>
        <w:rPr>
          <w:sz w:val="20"/>
        </w:rPr>
        <w:t xml:space="preserve"> frontend with async processing for enhanced UX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 images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</w:t>
      </w:r>
      <w:r>
        <w:rPr>
          <w:sz w:val="20"/>
        </w:rPr>
        <w:t xml:space="preserve"> trading system using PPO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Graviton processors and GPU clusters, reducing system latency by 25%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costs, consistently outperforming TWAP/VWAP benchmarks in production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automated user onboarding, successfully onboarding 750+ institutional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MLflow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TypeScript, JavaScript,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OpenAI API, Hugging Face, SpaCy, NLTK, Scikit-Learn,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