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enterprise-grade AI-powered</w:t>
      </w:r>
      <w:r>
        <w:rPr>
          <w:sz w:val="20"/>
        </w:rPr>
        <w:t xml:space="preserve"> Chrome extension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</w:t>
      </w:r>
      <w:r>
        <w:rPr>
          <w:sz w:val="20"/>
        </w:rPr>
        <w:t xml:space="preserve">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enterprise-grade distributed</w:t>
      </w:r>
      <w:r>
        <w:rPr>
          <w:sz w:val="20"/>
        </w:rPr>
        <w:t xml:space="preserve"> deep-learning multi-agent trading system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ML pipelines</w:t>
      </w:r>
      <w:r>
        <w:rPr>
          <w:sz w:val="20"/>
        </w:rPr>
        <w:t xml:space="preserve"> with AWS Graviton processors and GPU clusters, reducing system latency by 25% while processing high-frequency trading data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and 12% reduction in transaction costs, consistently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, successfully onboarding 750+ institutional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R, VBA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OpenAI API, LangChain, RAG, LLMs, Hugging Face, SpaCy, NLTK,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