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UX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AI-generated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PPO and Transformer architectures</w:t>
      </w:r>
      <w:r>
        <w:rPr>
          <w:sz w:val="20"/>
        </w:rPr>
        <w:t xml:space="preserve">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25%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, 5% improvement in price impact, and 12% reduction in transaction costs vs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, successfully onboarding 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 and 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 and FastAPI</w:t>
      </w:r>
      <w:r>
        <w:rPr>
          <w:sz w:val="20"/>
        </w:rPr>
        <w:t xml:space="preserve">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R, SQL, JavaScript, TypeScript, C/C++, Java, Go,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Face, SpaCy, NLTK,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