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serving 1,000+ daily users, implementing </w:t>
      </w:r>
      <w:r>
        <w:rPr>
          <w:sz w:val="20"/>
          <w:b/>
          <w:bCs/>
        </w:rPr>
        <w:t xml:space="preserve">web automation</w:t>
      </w:r>
      <w:r>
        <w:rPr>
          <w:sz w:val="20"/>
        </w:rPr>
        <w:t xml:space="preserve"> and content extraction across diverse domains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with JavaScript frontend, achieving </w:t>
      </w:r>
      <w:r>
        <w:rPr>
          <w:sz w:val="20"/>
          <w:b/>
          <w:bCs/>
        </w:rPr>
        <w:t xml:space="preserve">99%+ uptime</w:t>
      </w:r>
      <w:r>
        <w:rPr>
          <w:sz w:val="20"/>
        </w:rPr>
        <w:t xml:space="preserve"> and sub-200ms response times for enterprise users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</w:t>
      </w:r>
      <w:r>
        <w:rPr>
          <w:sz w:val="20"/>
          <w:b/>
          <w:bCs/>
        </w:rPr>
        <w:t xml:space="preserve">advanced NLP</w:t>
      </w:r>
      <w:r>
        <w:rPr>
          <w:sz w:val="20"/>
        </w:rPr>
        <w:t xml:space="preserve"> summaries and </w:t>
      </w:r>
      <w:r>
        <w:rPr>
          <w:sz w:val="20"/>
          <w:b/>
          <w:bCs/>
        </w:rPr>
        <w:t xml:space="preserve">AI-generated content</w:t>
      </w:r>
      <w:r>
        <w:rPr>
          <w:sz w:val="20"/>
        </w:rPr>
        <w:t xml:space="preserve">, transforming complex web applications for enhanced UX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AI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AWS Graviton processors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while processing high-frequency trading </w:t>
      </w:r>
      <w:r>
        <w:rPr>
          <w:sz w:val="20"/>
          <w:b/>
          <w:bCs/>
        </w:rPr>
        <w:t xml:space="preserve">data sources</w:t>
      </w:r>
      <w:r>
        <w:rPr>
          <w:sz w:val="20"/>
        </w:rPr>
        <w:t xml:space="preserve">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</w:t>
      </w:r>
      <w:r>
        <w:rPr>
          <w:sz w:val="20"/>
          <w:b/>
          <w:bCs/>
        </w:rPr>
        <w:t xml:space="preserve">outperforming benchmarks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AI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customer onboarding</w:t>
      </w:r>
      <w:r>
        <w:rPr>
          <w:sz w:val="20"/>
        </w:rPr>
        <w:t xml:space="preserve"> initiatives implementing </w:t>
      </w:r>
      <w:r>
        <w:rPr>
          <w:sz w:val="20"/>
          <w:b/>
          <w:bCs/>
        </w:rPr>
        <w:t xml:space="preserve">automated strategies</w:t>
      </w:r>
      <w:r>
        <w:rPr>
          <w:sz w:val="20"/>
        </w:rPr>
        <w:t xml:space="preserve">, successfully deploying solutions for 750+ institutional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 for production systems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 and automated testing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ensuring </w:t>
      </w:r>
      <w:r>
        <w:rPr>
          <w:sz w:val="20"/>
          <w:b/>
          <w:bCs/>
        </w:rPr>
        <w:t xml:space="preserve">quality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reliability</w:t>
      </w:r>
      <w:r>
        <w:rPr>
          <w:sz w:val="20"/>
        </w:rPr>
        <w:t xml:space="preserve"> of production AI deliverables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OpenAI API, LangChain, LangGraph, Hugging Face, SpaCy, NLTK,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