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 and automated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OpenAI APIs, JavaScript frontend with async processing, and </w:t>
      </w:r>
      <w:r>
        <w:rPr>
          <w:sz w:val="20"/>
          <w:b/>
          <w:bCs/>
        </w:rPr>
        <w:t xml:space="preserve">Google Custom Search integration</w:t>
      </w:r>
      <w:r>
        <w:rPr>
          <w:sz w:val="20"/>
        </w:rPr>
        <w:t xml:space="preserve">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3-point summaries</w:t>
      </w:r>
      <w:r>
        <w:rPr>
          <w:sz w:val="20"/>
        </w:rPr>
        <w:t xml:space="preserve"> and contextually relevant AI-generated images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 multi-agent trading system</w:t>
      </w:r>
      <w:r>
        <w:rPr>
          <w:sz w:val="20"/>
        </w:rPr>
        <w:t xml:space="preserve"> using PPO and Transformer architectures, optimizing execution strategies on **AWS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while processing high-frequency trading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transaction costs, consistently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successfully onboarding 750+ institutional users and generating 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Go, Bash, HTML/CSS, R, TypeScript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OpenAI API, LangChain,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