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multi-agent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optimizing trade execution strategies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distributed AI workflows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reducing latency and improving </w:t>
      </w:r>
      <w:r>
        <w:rPr>
          <w:sz w:val="20"/>
          <w:b/>
          <w:bCs/>
        </w:rPr>
        <w:t xml:space="preserve">agent-to-agent</w:t>
      </w:r>
      <w:r>
        <w:rPr>
          <w:sz w:val="20"/>
        </w:rPr>
        <w:t xml:space="preserve"> communication efficiency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optimization, driving </w:t>
      </w:r>
      <w:r>
        <w:rPr>
          <w:sz w:val="20"/>
          <w:b/>
          <w:bCs/>
        </w:rPr>
        <w:t xml:space="preserve">enterprise-level</w:t>
      </w:r>
      <w:r>
        <w:rPr>
          <w:sz w:val="20"/>
        </w:rPr>
        <w:t xml:space="preserve"> platform growth with 750+ users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AI governance</w:t>
      </w:r>
      <w:r>
        <w:rPr>
          <w:sz w:val="20"/>
        </w:rPr>
        <w:t xml:space="preserve"> documentation and performance reports following </w:t>
      </w:r>
      <w:r>
        <w:rPr>
          <w:sz w:val="20"/>
          <w:b/>
          <w:bCs/>
        </w:rPr>
        <w:t xml:space="preserve">best practices</w:t>
      </w:r>
      <w:r>
        <w:rPr>
          <w:sz w:val="20"/>
        </w:rPr>
        <w:t xml:space="preserve"> for cross-functional teams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HTML/CSS, React.js, Node.js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GPT-4.0, LangChain, LangGraph, PyTorch, TensorFlow, scikit-learn, Hugging Face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