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</w:t>
      </w:r>
      <w:r>
        <w:rPr>
          <w:sz w:val="20"/>
          <w:b/>
          <w:bCs/>
        </w:rPr>
        <w:t xml:space="preserve">async processing</w:t>
      </w:r>
      <w:r>
        <w:rPr>
          <w:sz w:val="20"/>
        </w:rPr>
        <w:t xml:space="preserve"> and Google Custom Search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</w:t>
      </w:r>
      <w:r>
        <w:rPr>
          <w:sz w:val="20"/>
          <w:b/>
          <w:bCs/>
        </w:rPr>
        <w:t xml:space="preserve">AI-generated images</w:t>
      </w:r>
      <w:r>
        <w:rPr>
          <w:sz w:val="20"/>
        </w:rPr>
        <w:t xml:space="preserve"> for content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deep-learning multi-agent</w:t>
      </w:r>
      <w:r>
        <w:rPr>
          <w:sz w:val="20"/>
        </w:rPr>
        <w:t xml:space="preserve"> trading system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GPU clusters</w:t>
      </w:r>
      <w:r>
        <w:rPr>
          <w:sz w:val="20"/>
        </w:rPr>
        <w:t xml:space="preserve">, reducing system latency by 25% for high-frequency trading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slippage, 5% improvement in price impact, and 12% reduction in transaction costs, consistently outperforming </w:t>
      </w:r>
      <w:r>
        <w:rPr>
          <w:sz w:val="20"/>
          <w:b/>
          <w:bCs/>
        </w:rPr>
        <w:t xml:space="preserve">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and personalized strategies, onboarding 750+ institutional users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</w:t>
      </w:r>
      <w:r>
        <w:rPr>
          <w:sz w:val="20"/>
          <w:b/>
          <w:bCs/>
        </w:rPr>
        <w:t xml:space="preserve">automated testing</w:t>
      </w:r>
      <w:r>
        <w:rPr>
          <w:sz w:val="20"/>
        </w:rPr>
        <w:t xml:space="preserve">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sklearn, TensorFlow, LangChain, LangGraph, OpenAI API, Hugging Face, SpaCy, NLTK, XGBoost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