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</w:t>
      </w:r>
      <w:r>
        <w:rPr>
          <w:sz w:val="20"/>
          <w:b/>
          <w:bCs/>
        </w:rPr>
        <w:t xml:space="preserve">contextually relevant 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 for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slippage, 5% improvement in price impact, and 12% reduction in transaction costs, </w:t>
      </w:r>
      <w:r>
        <w:rPr>
          <w:sz w:val="20"/>
          <w:b/>
          <w:bCs/>
        </w:rPr>
        <w:t xml:space="preserve">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 time</w:t>
      </w:r>
      <w:r>
        <w:rPr>
          <w:sz w:val="20"/>
        </w:rPr>
        <w:t xml:space="preserve">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</w:t>
      </w:r>
      <w:r>
        <w:rPr>
          <w:sz w:val="20"/>
          <w:b/>
          <w:bCs/>
        </w:rPr>
        <w:t xml:space="preserve">MLflow and FastAPI</w:t>
      </w:r>
      <w:r>
        <w:rPr>
          <w:sz w:val="20"/>
        </w:rPr>
        <w:t xml:space="preserve"> for real-time predictions and monitoring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R, HTML/CSS, Bash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Keras, XGBoost, Pandas, NumPy, OpenAI API, LangChain,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