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GenAI-powered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client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</w:t>
      </w:r>
      <w:r>
        <w:rPr>
          <w:sz w:val="20"/>
          <w:b/>
          <w:bCs/>
        </w:rPr>
        <w:t xml:space="preserve">AI-generated</w:t>
      </w:r>
      <w:r>
        <w:rPr>
          <w:sz w:val="20"/>
        </w:rPr>
        <w:t xml:space="preserve"> content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enterprise-grade</w:t>
      </w:r>
      <w:r>
        <w:rPr>
          <w:sz w:val="20"/>
        </w:rPr>
        <w:t xml:space="preserve"> distributed deep-learning multi-agent trading system using PPO and </w:t>
      </w:r>
      <w:r>
        <w:rPr>
          <w:sz w:val="20"/>
          <w:b/>
          <w:bCs/>
        </w:rPr>
        <w:t xml:space="preserve">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latency by 25% while processing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and 12% reduction in transaction costs,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, successfully onboarding 750+ institutional users and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and FastAPI for real-time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C/C++, Java, Go, Bash, HTML/CSS, R, Angular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OpenAI API, Hugging Face Transformers, SpaCy, NLTK,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