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 deep-learning</w:t>
      </w:r>
      <w:r>
        <w:rPr>
          <w:sz w:val="20"/>
        </w:rPr>
        <w:t xml:space="preserve"> multi-agent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for real-time trade optimization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by 15% and processing 10k+ transactions per second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optimization</w:t>
      </w:r>
      <w:r>
        <w:rPr>
          <w:sz w:val="20"/>
        </w:rPr>
        <w:t xml:space="preserve">, driving $15k revenue growth through </w:t>
      </w:r>
      <w:r>
        <w:rPr>
          <w:sz w:val="20"/>
          <w:b/>
          <w:bCs/>
        </w:rPr>
        <w:t xml:space="preserve">high-performance AI models</w:t>
      </w:r>
      <w:r>
        <w:rPr>
          <w:sz w:val="20"/>
        </w:rPr>
        <w:t xml:space="preserve"> and system architecture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Established </w:t>
      </w:r>
      <w:r>
        <w:rPr>
          <w:sz w:val="20"/>
          <w:b/>
          <w:bCs/>
        </w:rPr>
        <w:t xml:space="preserve">observability frameworks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standards for cross-functional teams and production ML system reliability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CUDA,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Transformers, LangChain, YOLO, CLIP, GPT-4o, vLLM, Embeddings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