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Generative AI-powered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NLP pipeline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and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</w:t>
      </w:r>
      <w:r>
        <w:rPr>
          <w:sz w:val="20"/>
        </w:rPr>
        <w:t xml:space="preserve">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GPU clusters, reducing system latency by 25% for high-frequency trading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costs, consistently outperforming </w:t>
      </w:r>
      <w:r>
        <w:rPr>
          <w:sz w:val="20"/>
          <w:b/>
          <w:bCs/>
        </w:rPr>
        <w:t xml:space="preserve">TWAP/VWAP benchmarks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ML optimization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</w:t>
      </w:r>
      <w:r>
        <w:rPr>
          <w:sz w:val="20"/>
        </w:rPr>
        <w:t xml:space="preserve"> growth initiatives implementing automated user onboarding strategies, successfully onboarding 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HuggingFace Transformers, LangChain, OpenAI API, Scikit-Learn, XGBoost,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