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scalable </w:t>
      </w:r>
      <w:r>
        <w:rPr>
          <w:sz w:val="20"/>
          <w:b/>
          <w:bCs/>
        </w:rPr>
        <w:t xml:space="preserve">AI-driven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and distributed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robust </w:t>
      </w:r>
      <w:r>
        <w:rPr>
          <w:sz w:val="20"/>
          <w:b/>
          <w:bCs/>
        </w:rPr>
        <w:t xml:space="preserve">AI services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integration, reducing latency and improving system efficiency for trading platform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savings, driving platform growth with 750 new users and $15K revenue through </w:t>
      </w:r>
      <w:r>
        <w:rPr>
          <w:sz w:val="20"/>
          <w:b/>
          <w:bCs/>
        </w:rPr>
        <w:t xml:space="preserve">AI innovation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Collaborated with cross-functional teams, authoring technical documentation and performance reports for </w:t>
      </w:r>
      <w:r>
        <w:rPr>
          <w:sz w:val="20"/>
          <w:b/>
          <w:bCs/>
        </w:rPr>
        <w:t xml:space="preserve">generative AI experiences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**Python**, **TypeScript**, JavaScript, C/C++, SQL,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**OpenAI APIs**, **LangChain**, PyTorch, TensorFlow, Transformers, **Vector DBs**, SpaCy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