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 and automated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full-stack architecture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processing, and Google Custom Search integration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 3-point summaries</w:t>
      </w:r>
      <w:r>
        <w:rPr>
          <w:sz w:val="20"/>
        </w:rPr>
        <w:t xml:space="preserve"> and contextually relevant AI-generated images for complex web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 trading system</w:t>
      </w:r>
      <w:r>
        <w:rPr>
          <w:sz w:val="20"/>
        </w:rPr>
        <w:t xml:space="preserve"> using PPO and Transformer architectures, optimizing execution strategies on 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 and GPU clusters, reducing system latency by 25% while processing high-frequency trading data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slippage, 5% improvement in price impact, and 12% reduction in transaction costs, consistently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automated user onboarding and </w:t>
      </w:r>
      <w:r>
        <w:rPr>
          <w:sz w:val="20"/>
          <w:b/>
          <w:bCs/>
        </w:rPr>
        <w:t xml:space="preserve">personalized strategies</w:t>
      </w:r>
      <w:r>
        <w:rPr>
          <w:sz w:val="20"/>
        </w:rPr>
        <w:t xml:space="preserve">, successfully onboarding 750+ institutional users and generating $15,000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LightGBM, Hugging Face, SpaCy, NLTK,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