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serving 1,000+ daily users, implementing comprehensive </w:t>
      </w:r>
      <w:r>
        <w:rPr>
          <w:sz w:val="20"/>
          <w:b/>
          <w:bCs/>
        </w:rPr>
        <w:t xml:space="preserve">quality assurance</w:t>
      </w:r>
      <w:r>
        <w:rPr>
          <w:sz w:val="20"/>
        </w:rPr>
        <w:t xml:space="preserve"> protocols and performance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with robust error handling, </w:t>
      </w:r>
      <w:r>
        <w:rPr>
          <w:sz w:val="20"/>
          <w:b/>
          <w:bCs/>
        </w:rPr>
        <w:t xml:space="preserve">performance monitoring dashboards</w:t>
      </w:r>
      <w:r>
        <w:rPr>
          <w:sz w:val="20"/>
        </w:rPr>
        <w:t xml:space="preserve">, and automated testing ensuring 99%+ uptime across diverse user scenarios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analysis</w:t>
      </w:r>
      <w:r>
        <w:rPr>
          <w:sz w:val="20"/>
        </w:rPr>
        <w:t xml:space="preserve"> and contextual AI processing, demonstrating strong </w:t>
      </w:r>
      <w:r>
        <w:rPr>
          <w:sz w:val="20"/>
          <w:b/>
          <w:bCs/>
        </w:rPr>
        <w:t xml:space="preserve">pattern identification</w:t>
      </w:r>
      <w:r>
        <w:rPr>
          <w:sz w:val="20"/>
        </w:rPr>
        <w:t xml:space="preserve"> capabilities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AI trading system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institutional clients</w:t>
      </w:r>
      <w:r>
        <w:rPr>
          <w:sz w:val="20"/>
        </w:rPr>
        <w:t xml:space="preserve"> using PPO and Transformer architectures, ensuring </w:t>
      </w:r>
      <w:r>
        <w:rPr>
          <w:sz w:val="20"/>
          <w:b/>
          <w:bCs/>
        </w:rPr>
        <w:t xml:space="preserve">compliance</w:t>
      </w:r>
      <w:r>
        <w:rPr>
          <w:sz w:val="20"/>
        </w:rPr>
        <w:t xml:space="preserve"> with financial regulations and quality standards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AWS infrastructure, reducing system latency by 25% while implementing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drift detection</w:t>
      </w:r>
      <w:r>
        <w:rPr>
          <w:sz w:val="20"/>
        </w:rPr>
        <w:t xml:space="preserve"> for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 through </w:t>
      </w:r>
      <w:r>
        <w:rPr>
          <w:sz w:val="20"/>
          <w:b/>
          <w:bCs/>
        </w:rPr>
        <w:t xml:space="preserve">rigorous testing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quality reviews</w:t>
      </w:r>
      <w:r>
        <w:rPr>
          <w:sz w:val="20"/>
        </w:rPr>
        <w:t xml:space="preserve"> of AI models, consistently outperforming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customer-facing initiatives</w:t>
      </w:r>
      <w:r>
        <w:rPr>
          <w:sz w:val="20"/>
        </w:rPr>
        <w:t xml:space="preserve"> onboarding 750+ institutional users, providing </w:t>
      </w:r>
      <w:r>
        <w:rPr>
          <w:sz w:val="20"/>
          <w:b/>
          <w:bCs/>
        </w:rPr>
        <w:t xml:space="preserve">operational insights</w:t>
      </w:r>
      <w:r>
        <w:rPr>
          <w:sz w:val="20"/>
        </w:rPr>
        <w:t xml:space="preserve"> and generating $15,000 revenue through direct client engagement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TensorFlow, contributing to 20% increase in user retention through </w:t>
      </w:r>
      <w:r>
        <w:rPr>
          <w:sz w:val="20"/>
          <w:b/>
          <w:bCs/>
        </w:rPr>
        <w:t xml:space="preserve">data analysis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Airflow, reducing data processing time by 30% through </w:t>
      </w:r>
      <w:r>
        <w:rPr>
          <w:sz w:val="20"/>
          <w:b/>
          <w:bCs/>
        </w:rPr>
        <w:t xml:space="preserve">pattern identification</w:t>
      </w:r>
      <w:r>
        <w:rPr>
          <w:sz w:val="20"/>
        </w:rPr>
        <w:t xml:space="preserve"> and optimization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for real-time predictions with </w:t>
      </w:r>
      <w:r>
        <w:rPr>
          <w:sz w:val="20"/>
          <w:b/>
          <w:bCs/>
        </w:rPr>
        <w:t xml:space="preserve">quality monitoring</w:t>
      </w:r>
      <w:r>
        <w:rPr>
          <w:sz w:val="20"/>
        </w:rPr>
        <w:t xml:space="preserve"> and testing protocols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 ensuring </w:t>
      </w:r>
      <w:r>
        <w:rPr>
          <w:sz w:val="20"/>
          <w:b/>
          <w:bCs/>
        </w:rPr>
        <w:t xml:space="preserve">compliance</w:t>
      </w:r>
      <w:r>
        <w:rPr>
          <w:sz w:val="20"/>
        </w:rPr>
        <w:t xml:space="preserve"> standards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**SQL**, JavaScript, TypeScript,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**AI Agents**, OpenAI API, LangChain, Scikit-Learn,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