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  <w:shd w:fill="fefefe" w:val="clear"/>
        </w:rPr>
      </w:pPr>
      <w:r w:rsidDel="00000000" w:rsidR="00000000" w:rsidRPr="00000000">
        <w:rPr>
          <w:b w:val="1"/>
          <w:i w:val="1"/>
          <w:sz w:val="48"/>
          <w:szCs w:val="48"/>
          <w:shd w:fill="fefefe" w:val="clear"/>
          <w:rtl w:val="0"/>
        </w:rPr>
        <w:t xml:space="preserve">Preparación de la máquina virtual: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Crear una nueva máquina virtual en VirtualBox, VMware o Hyper-V.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Asignar recursos recomendados: mínimo 2 CPUs, 4 GB de RAM y 50 GB de disco.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  <w:rtl w:val="0"/>
        </w:rPr>
        <w:t xml:space="preserve">Conectar la ISO oficial de Windows Server (versión 2019 o 2022).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5731200" cy="346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5731200" cy="218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b w:val="1"/>
          <w:sz w:val="24"/>
          <w:szCs w:val="24"/>
          <w:shd w:fill="fefefe" w:val="clear"/>
        </w:rPr>
        <w:drawing>
          <wp:inline distB="114300" distT="114300" distL="114300" distR="114300">
            <wp:extent cx="5731200" cy="386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shd w:fill="fefefe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