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jc w:val="center"/>
      </w:pPr>
      <w:r>
        <w:rPr>
          <w:rFonts w:ascii="Arial" w:cs="Arial" w:eastAsia="Arial" w:hAnsi="Arial"/>
          <w:b/>
          <w:bCs/>
          <w:color w:val="0F5A34"/>
          <w:sz w:val="72"/>
          <w:szCs w:val="72"/>
        </w:rPr>
        <w:t xml:space="preserve">Dwaar (دوّر)</w:t>
      </w:r>
    </w:p>
    <w:p>
      <w:pPr>
        <w:spacing w:after="120"/>
        <w:jc w:val="center"/>
      </w:pPr>
      <w:r>
        <w:rPr>
          <w:color w:val="06331C"/>
          <w:sz w:val="32"/>
          <w:szCs w:val="32"/>
        </w:rPr>
        <w:t xml:space="preserve">Circular-Economy Logistics Platform</w:t>
      </w:r>
    </w:p>
    <w:p>
      <w:pPr>
        <w:spacing w:after="600"/>
        <w:jc w:val="center"/>
      </w:pPr>
      <w:r>
        <w:rPr>
          <w:i/>
          <w:iCs/>
          <w:color w:val="6A7973"/>
          <w:sz w:val="24"/>
          <w:szCs w:val="24"/>
        </w:rPr>
        <w:t xml:space="preserve">حوّل النفايات إلى قيمة — Turn waste into value</w:t>
      </w:r>
    </w:p>
    <w:p>
      <w:pPr>
        <w:spacing w:after="60"/>
        <w:jc w:val="center"/>
      </w:pPr>
      <w:r>
        <w:rPr>
          <w:b/>
          <w:bCs/>
          <w:sz w:val="28"/>
          <w:szCs w:val="28"/>
        </w:rPr>
        <w:t xml:space="preserve">Project Documentation &amp; Progress Summary</w:t>
      </w:r>
    </w:p>
    <w:p>
      <w:pPr>
        <w:spacing w:after="60"/>
        <w:jc w:val="center"/>
      </w:pPr>
      <w:r>
        <w:rPr>
          <w:color w:val="6A7973"/>
          <w:sz w:val="22"/>
          <w:szCs w:val="22"/>
        </w:rPr>
        <w:t xml:space="preserve">Arabic-first waste-recycling app for Jordan</w:t>
      </w:r>
    </w:p>
    <w:p>
      <w:pPr>
        <w:jc w:val="center"/>
      </w:pPr>
      <w:r>
        <w:rPr>
          <w:color w:val="6A7973"/>
          <w:sz w:val="20"/>
          <w:szCs w:val="20"/>
        </w:rPr>
        <w:t xml:space="preserve">Version 1.0  ·  22 June 2026</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20"/>
      </w:pPr>
      <w:r>
        <w:t xml:space="preserve">Dwaar (دوّر) is an Arabic-first, RTL mobile application that organises the collection and recycling of waste materials across Jordan (Amman, Zarqa, Irbid, Aqaba). It connects three parties in a single circular-economy loop:</w:t>
      </w:r>
    </w:p>
    <w:p>
      <w:pPr>
        <w:pStyle w:val="ListParagraph"/>
        <w:numPr>
          <w:ilvl w:val="0"/>
          <w:numId w:val="2"/>
        </w:numPr>
      </w:pPr>
      <w:r>
        <w:t xml:space="preserve">Suppliers (individuals, stores and restaurants) who post pickup requests for recyclable materials — for free.</w:t>
      </w:r>
    </w:p>
    <w:p>
      <w:pPr>
        <w:pStyle w:val="ListParagraph"/>
        <w:numPr>
          <w:ilvl w:val="0"/>
          <w:numId w:val="2"/>
        </w:numPr>
      </w:pPr>
      <w:r>
        <w:t xml:space="preserve">Drivers who accept those jobs and earn income per trip.</w:t>
      </w:r>
    </w:p>
    <w:p>
      <w:pPr>
        <w:pStyle w:val="ListParagraph"/>
        <w:numPr>
          <w:ilvl w:val="0"/>
          <w:numId w:val="2"/>
        </w:numPr>
      </w:pPr>
      <w:r>
        <w:t xml:space="preserve">Recycling companies that receive organised shipments and post their own collection jobs.</w:t>
      </w:r>
    </w:p>
    <w:p>
      <w:pPr>
        <w:spacing w:after="120"/>
      </w:pPr>
      <w:r>
        <w:t xml:space="preserve">The platform tracks economic value created and waste diverted from landfills. The app is built in Flutter using an MVVM + Provider architecture, with a hybrid data layer: an in-memory/local store backs the live UI today while a Supabase backend (auth, storage, realtime, Postgres + PostGIS) is being progressively wired in.</w:t>
      </w:r>
    </w:p>
    <w:p>
      <w:pPr>
        <w:spacing w:after="120"/>
      </w:pPr>
      <w:r>
        <w:t xml:space="preserve">Current phase: MVP feature-complete on mock/local data, with Supabase infrastructure written and partially connected. Recent work delivered an order-chat system, a redesigned cross-role profile with government payment (eFawateercom), and improved order tracking for suppliers and restaurants.</w:t>
      </w:r>
    </w:p>
    <w:p>
      <w:pPr>
        <w:pStyle w:val="Heading1"/>
      </w:pPr>
      <w:r>
        <w:t xml:space="preserve">2. Product Overview</w:t>
      </w:r>
    </w:p>
    <w:p>
      <w:pPr>
        <w:pStyle w:val="Heading2"/>
      </w:pPr>
      <w:r>
        <w:t xml:space="preserve">2.1 The Problem</w:t>
      </w:r>
    </w:p>
    <w:p>
      <w:pPr>
        <w:pStyle w:val="ListParagraph"/>
        <w:numPr>
          <w:ilvl w:val="0"/>
          <w:numId w:val="2"/>
        </w:numPr>
      </w:pPr>
      <w:r>
        <w:t xml:space="preserve">Improper disposal of used oil and recyclable materials across Jordan.</w:t>
      </w:r>
    </w:p>
    <w:p>
      <w:pPr>
        <w:pStyle w:val="ListParagraph"/>
        <w:numPr>
          <w:ilvl w:val="0"/>
          <w:numId w:val="2"/>
        </w:numPr>
      </w:pPr>
      <w:r>
        <w:t xml:space="preserve">No structured system connecting suppliers to recycling drivers.</w:t>
      </w:r>
    </w:p>
    <w:p>
      <w:pPr>
        <w:pStyle w:val="ListParagraph"/>
        <w:numPr>
          <w:ilvl w:val="0"/>
          <w:numId w:val="2"/>
        </w:numPr>
      </w:pPr>
      <w:r>
        <w:t xml:space="preserve">Lost economic value from recyclable materials and few green jobs for drivers.</w:t>
      </w:r>
    </w:p>
    <w:p>
      <w:pPr>
        <w:pStyle w:val="ListParagraph"/>
        <w:numPr>
          <w:ilvl w:val="0"/>
          <w:numId w:val="2"/>
        </w:numPr>
      </w:pPr>
      <w:r>
        <w:t xml:space="preserve">Recycling companies lack a reliable intake pipeline.</w:t>
      </w:r>
    </w:p>
    <w:p>
      <w:pPr>
        <w:pStyle w:val="Heading2"/>
      </w:pPr>
      <w:r>
        <w:t xml:space="preserve">2.2 The Solution Flow</w:t>
      </w:r>
    </w:p>
    <w:p>
      <w:pPr>
        <w:spacing w:after="120"/>
      </w:pPr>
      <w:r>
        <w:rPr>
          <w:b/>
          <w:bCs/>
        </w:rPr>
        <w:t xml:space="preserve">Supplier posts a request → Driver accepts → Materials are collected → Recycling company processes → Environmental and economic impact is tracked.</w:t>
      </w:r>
    </w:p>
    <w:p>
      <w:pPr>
        <w:pStyle w:val="Heading2"/>
      </w:pPr>
      <w:r>
        <w:t xml:space="preserve">2.3 User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3560"/>
      </w:tblGrid>
      <w:tr>
        <w:trPr>
          <w:tblHeader/>
        </w:trPr>
        <w:tc>
          <w:tcPr>
            <w:tcW w:type="dxa" w:w="3400"/>
            <w:tcBorders>
              <w:top w:val="single" w:color="CCCCCC" w:sz="1"/>
              <w:left w:val="single" w:color="CCCCCC" w:sz="1"/>
              <w:bottom w:val="single" w:color="CCCCCC" w:sz="1"/>
              <w:right w:val="single" w:color="CCCCCC" w:sz="1"/>
            </w:tcBorders>
            <w:shd w:fill="0F5A34" w:val="clear"/>
            <w:tcMar>
              <w:top w:type="dxa" w:w="80"/>
              <w:left w:type="dxa" w:w="120"/>
              <w:bottom w:type="dxa" w:w="80"/>
              <w:right w:type="dxa" w:w="120"/>
            </w:tcMar>
          </w:tcPr>
          <w:p>
            <w:r>
              <w:rPr>
                <w:b/>
                <w:bCs/>
                <w:color w:val="FFFFFF"/>
                <w:sz w:val="20"/>
                <w:szCs w:val="20"/>
              </w:rPr>
              <w:t xml:space="preserve">Role</w:t>
            </w:r>
          </w:p>
        </w:tc>
        <w:tc>
          <w:tcPr>
            <w:tcW w:type="dxa" w:w="2400"/>
            <w:tcBorders>
              <w:top w:val="single" w:color="CCCCCC" w:sz="1"/>
              <w:left w:val="single" w:color="CCCCCC" w:sz="1"/>
              <w:bottom w:val="single" w:color="CCCCCC" w:sz="1"/>
              <w:right w:val="single" w:color="CCCCCC" w:sz="1"/>
            </w:tcBorders>
            <w:shd w:fill="0F5A34" w:val="clear"/>
            <w:tcMar>
              <w:top w:type="dxa" w:w="80"/>
              <w:left w:type="dxa" w:w="120"/>
              <w:bottom w:type="dxa" w:w="80"/>
              <w:right w:type="dxa" w:w="120"/>
            </w:tcMar>
          </w:tcPr>
          <w:p>
            <w:r>
              <w:rPr>
                <w:b/>
                <w:bCs/>
                <w:color w:val="FFFFFF"/>
                <w:sz w:val="20"/>
                <w:szCs w:val="20"/>
              </w:rPr>
              <w:t xml:space="preserve">Arabic</w:t>
            </w:r>
          </w:p>
        </w:tc>
        <w:tc>
          <w:tcPr>
            <w:tcW w:type="dxa" w:w="3560"/>
            <w:tcBorders>
              <w:top w:val="single" w:color="CCCCCC" w:sz="1"/>
              <w:left w:val="single" w:color="CCCCCC" w:sz="1"/>
              <w:bottom w:val="single" w:color="CCCCCC" w:sz="1"/>
              <w:right w:val="single" w:color="CCCCCC" w:sz="1"/>
            </w:tcBorders>
            <w:shd w:fill="0F5A34" w:val="clear"/>
            <w:tcMar>
              <w:top w:type="dxa" w:w="80"/>
              <w:left w:type="dxa" w:w="120"/>
              <w:bottom w:type="dxa" w:w="80"/>
              <w:right w:type="dxa" w:w="120"/>
            </w:tcMar>
          </w:tcPr>
          <w:p>
            <w:r>
              <w:rPr>
                <w:b/>
                <w:bCs/>
                <w:color w:val="FFFFFF"/>
                <w:sz w:val="20"/>
                <w:szCs w:val="20"/>
              </w:rPr>
              <w:t xml:space="preserve">Responsibility</w:t>
            </w:r>
          </w:p>
        </w:tc>
      </w:tr>
      <w:tr>
        <w:tc>
          <w:tcPr>
            <w:tcW w:type="dxa" w:w="3400"/>
            <w:tcBorders>
              <w:top w:val="single" w:color="CCCCCC" w:sz="1"/>
              <w:left w:val="single" w:color="CCCCCC" w:sz="1"/>
              <w:bottom w:val="single" w:color="CCCCCC" w:sz="1"/>
              <w:right w:val="single" w:color="CCCCCC" w:sz="1"/>
            </w:tcBorders>
            <w:shd w:fill="F3F7F5" w:val="clear"/>
            <w:tcMar>
              <w:top w:type="dxa" w:w="80"/>
              <w:left w:type="dxa" w:w="120"/>
              <w:bottom w:type="dxa" w:w="80"/>
              <w:right w:type="dxa" w:w="120"/>
            </w:tcMar>
          </w:tcPr>
          <w:p>
            <w:r>
              <w:rPr>
                <w:sz w:val="20"/>
                <w:szCs w:val="20"/>
              </w:rPr>
              <w:t xml:space="preserve">Supplier — Individual</w:t>
            </w:r>
          </w:p>
        </w:tc>
        <w:tc>
          <w:tcPr>
            <w:tcW w:type="dxa" w:w="2400"/>
            <w:tcBorders>
              <w:top w:val="single" w:color="CCCCCC" w:sz="1"/>
              <w:left w:val="single" w:color="CCCCCC" w:sz="1"/>
              <w:bottom w:val="single" w:color="CCCCCC" w:sz="1"/>
              <w:right w:val="single" w:color="CCCCCC" w:sz="1"/>
            </w:tcBorders>
            <w:shd w:fill="F3F7F5" w:val="clear"/>
            <w:tcMar>
              <w:top w:type="dxa" w:w="80"/>
              <w:left w:type="dxa" w:w="120"/>
              <w:bottom w:type="dxa" w:w="80"/>
              <w:right w:type="dxa" w:w="120"/>
            </w:tcMar>
          </w:tcPr>
          <w:p>
            <w:r>
              <w:rPr>
                <w:sz w:val="20"/>
                <w:szCs w:val="20"/>
              </w:rPr>
              <w:t xml:space="preserve">مورد فردي</w:t>
            </w:r>
          </w:p>
        </w:tc>
        <w:tc>
          <w:tcPr>
            <w:tcW w:type="dxa" w:w="3560"/>
            <w:tcBorders>
              <w:top w:val="single" w:color="CCCCCC" w:sz="1"/>
              <w:left w:val="single" w:color="CCCCCC" w:sz="1"/>
              <w:bottom w:val="single" w:color="CCCCCC" w:sz="1"/>
              <w:right w:val="single" w:color="CCCCCC" w:sz="1"/>
            </w:tcBorders>
            <w:shd w:fill="F3F7F5" w:val="clear"/>
            <w:tcMar>
              <w:top w:type="dxa" w:w="80"/>
              <w:left w:type="dxa" w:w="120"/>
              <w:bottom w:type="dxa" w:w="80"/>
              <w:right w:type="dxa" w:w="120"/>
            </w:tcMar>
          </w:tcPr>
          <w:p>
            <w:r>
              <w:rPr>
                <w:sz w:val="20"/>
                <w:szCs w:val="20"/>
              </w:rPr>
              <w:t xml:space="preserve">Posts pickup requests from home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Supplier — Store / Restaurant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مورد متجر / مطعم</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Posts bulk pickup requests</w:t>
            </w:r>
          </w:p>
        </w:tc>
      </w:tr>
      <w:tr>
        <w:tc>
          <w:tcPr>
            <w:tcW w:type="dxa" w:w="3400"/>
            <w:tcBorders>
              <w:top w:val="single" w:color="CCCCCC" w:sz="1"/>
              <w:left w:val="single" w:color="CCCCCC" w:sz="1"/>
              <w:bottom w:val="single" w:color="CCCCCC" w:sz="1"/>
              <w:right w:val="single" w:color="CCCCCC" w:sz="1"/>
            </w:tcBorders>
            <w:shd w:fill="F3F7F5" w:val="clear"/>
            <w:tcMar>
              <w:top w:type="dxa" w:w="80"/>
              <w:left w:type="dxa" w:w="120"/>
              <w:bottom w:type="dxa" w:w="80"/>
              <w:right w:type="dxa" w:w="120"/>
            </w:tcMar>
          </w:tcPr>
          <w:p>
            <w:r>
              <w:rPr>
                <w:sz w:val="20"/>
                <w:szCs w:val="20"/>
              </w:rPr>
              <w:t xml:space="preserve">Driver</w:t>
            </w:r>
          </w:p>
        </w:tc>
        <w:tc>
          <w:tcPr>
            <w:tcW w:type="dxa" w:w="2400"/>
            <w:tcBorders>
              <w:top w:val="single" w:color="CCCCCC" w:sz="1"/>
              <w:left w:val="single" w:color="CCCCCC" w:sz="1"/>
              <w:bottom w:val="single" w:color="CCCCCC" w:sz="1"/>
              <w:right w:val="single" w:color="CCCCCC" w:sz="1"/>
            </w:tcBorders>
            <w:shd w:fill="F3F7F5" w:val="clear"/>
            <w:tcMar>
              <w:top w:type="dxa" w:w="80"/>
              <w:left w:type="dxa" w:w="120"/>
              <w:bottom w:type="dxa" w:w="80"/>
              <w:right w:type="dxa" w:w="120"/>
            </w:tcMar>
          </w:tcPr>
          <w:p>
            <w:r>
              <w:rPr>
                <w:sz w:val="20"/>
                <w:szCs w:val="20"/>
              </w:rPr>
              <w:t xml:space="preserve">سائق</w:t>
            </w:r>
          </w:p>
        </w:tc>
        <w:tc>
          <w:tcPr>
            <w:tcW w:type="dxa" w:w="3560"/>
            <w:tcBorders>
              <w:top w:val="single" w:color="CCCCCC" w:sz="1"/>
              <w:left w:val="single" w:color="CCCCCC" w:sz="1"/>
              <w:bottom w:val="single" w:color="CCCCCC" w:sz="1"/>
              <w:right w:val="single" w:color="CCCCCC" w:sz="1"/>
            </w:tcBorders>
            <w:shd w:fill="F3F7F5" w:val="clear"/>
            <w:tcMar>
              <w:top w:type="dxa" w:w="80"/>
              <w:left w:type="dxa" w:w="120"/>
              <w:bottom w:type="dxa" w:w="80"/>
              <w:right w:type="dxa" w:w="120"/>
            </w:tcMar>
          </w:tcPr>
          <w:p>
            <w:r>
              <w:rPr>
                <w:sz w:val="20"/>
                <w:szCs w:val="20"/>
              </w:rPr>
              <w:t xml:space="preserve">Accepts pickup jobs, earns per trip</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Recycling Company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شركة إعادة تدوير</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Receives shipments, posts collection jobs</w:t>
            </w:r>
          </w:p>
        </w:tc>
      </w:tr>
    </w:tbl>
    <w:p>
      <w:pPr>
        <w:pStyle w:val="Heading1"/>
      </w:pPr>
      <w:r>
        <w:t xml:space="preserve">3. Technology &amp; Architecture</w:t>
      </w:r>
    </w:p>
    <w:p>
      <w:pPr>
        <w:pStyle w:val="Heading2"/>
      </w:pPr>
      <w:r>
        <w:t xml:space="preserve">3.1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0F5A34" w:val="clear"/>
            <w:tcMar>
              <w:top w:type="dxa" w:w="80"/>
              <w:left w:type="dxa" w:w="120"/>
              <w:bottom w:type="dxa" w:w="80"/>
              <w:right w:type="dxa" w:w="120"/>
            </w:tcMar>
          </w:tcPr>
          <w:p>
            <w:r>
              <w:rPr>
                <w:b/>
                <w:bCs/>
                <w:color w:val="FFFFFF"/>
                <w:sz w:val="20"/>
                <w:szCs w:val="20"/>
              </w:rPr>
              <w:t xml:space="preserve">Layer</w:t>
            </w:r>
          </w:p>
        </w:tc>
        <w:tc>
          <w:tcPr>
            <w:tcW w:type="dxa" w:w="6360"/>
            <w:tcBorders>
              <w:top w:val="single" w:color="CCCCCC" w:sz="1"/>
              <w:left w:val="single" w:color="CCCCCC" w:sz="1"/>
              <w:bottom w:val="single" w:color="CCCCCC" w:sz="1"/>
              <w:right w:val="single" w:color="CCCCCC" w:sz="1"/>
            </w:tcBorders>
            <w:shd w:fill="0F5A34" w:val="clear"/>
            <w:tcMar>
              <w:top w:type="dxa" w:w="80"/>
              <w:left w:type="dxa" w:w="120"/>
              <w:bottom w:type="dxa" w:w="80"/>
              <w:right w:type="dxa" w:w="120"/>
            </w:tcMar>
          </w:tcPr>
          <w:p>
            <w:r>
              <w:rPr>
                <w:b/>
                <w:bCs/>
                <w:color w:val="FFFFFF"/>
                <w:sz w:val="20"/>
                <w:szCs w:val="20"/>
              </w:rPr>
              <w:t xml:space="preserve">Technology</w:t>
            </w:r>
          </w:p>
        </w:tc>
      </w:tr>
      <w:tr>
        <w:tc>
          <w:tcPr>
            <w:tcW w:type="dxa" w:w="3000"/>
            <w:tcBorders>
              <w:top w:val="single" w:color="CCCCCC" w:sz="1"/>
              <w:left w:val="single" w:color="CCCCCC" w:sz="1"/>
              <w:bottom w:val="single" w:color="CCCCCC" w:sz="1"/>
              <w:right w:val="single" w:color="CCCCCC" w:sz="1"/>
            </w:tcBorders>
            <w:shd w:fill="F3F7F5" w:val="clear"/>
            <w:tcMar>
              <w:top w:type="dxa" w:w="80"/>
              <w:left w:type="dxa" w:w="120"/>
              <w:bottom w:type="dxa" w:w="80"/>
              <w:right w:type="dxa" w:w="120"/>
            </w:tcMar>
          </w:tcPr>
          <w:p>
            <w:r>
              <w:rPr>
                <w:sz w:val="20"/>
                <w:szCs w:val="20"/>
              </w:rPr>
              <w:t xml:space="preserve">Framework</w:t>
            </w:r>
          </w:p>
        </w:tc>
        <w:tc>
          <w:tcPr>
            <w:tcW w:type="dxa" w:w="6360"/>
            <w:tcBorders>
              <w:top w:val="single" w:color="CCCCCC" w:sz="1"/>
              <w:left w:val="single" w:color="CCCCCC" w:sz="1"/>
              <w:bottom w:val="single" w:color="CCCCCC" w:sz="1"/>
              <w:right w:val="single" w:color="CCCCCC" w:sz="1"/>
            </w:tcBorders>
            <w:shd w:fill="F3F7F5" w:val="clear"/>
            <w:tcMar>
              <w:top w:type="dxa" w:w="80"/>
              <w:left w:type="dxa" w:w="120"/>
              <w:bottom w:type="dxa" w:w="80"/>
              <w:right w:type="dxa" w:w="120"/>
            </w:tcMar>
          </w:tcPr>
          <w:p>
            <w:r>
              <w:rPr>
                <w:sz w:val="20"/>
                <w:szCs w:val="20"/>
              </w:rPr>
              <w:t xml:space="preserve">Flutter 3.x (Dart SDK ^3.11)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State management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Provider + ChangeNotifier ViewModels</w:t>
            </w:r>
          </w:p>
        </w:tc>
      </w:tr>
      <w:tr>
        <w:tc>
          <w:tcPr>
            <w:tcW w:type="dxa" w:w="3000"/>
            <w:tcBorders>
              <w:top w:val="single" w:color="CCCCCC" w:sz="1"/>
              <w:left w:val="single" w:color="CCCCCC" w:sz="1"/>
              <w:bottom w:val="single" w:color="CCCCCC" w:sz="1"/>
              <w:right w:val="single" w:color="CCCCCC" w:sz="1"/>
            </w:tcBorders>
            <w:shd w:fill="F3F7F5" w:val="clear"/>
            <w:tcMar>
              <w:top w:type="dxa" w:w="80"/>
              <w:left w:type="dxa" w:w="120"/>
              <w:bottom w:type="dxa" w:w="80"/>
              <w:right w:type="dxa" w:w="120"/>
            </w:tcMar>
          </w:tcPr>
          <w:p>
            <w:r>
              <w:rPr>
                <w:sz w:val="20"/>
                <w:szCs w:val="20"/>
              </w:rPr>
              <w:t xml:space="preserve">Architecture</w:t>
            </w:r>
          </w:p>
        </w:tc>
        <w:tc>
          <w:tcPr>
            <w:tcW w:type="dxa" w:w="6360"/>
            <w:tcBorders>
              <w:top w:val="single" w:color="CCCCCC" w:sz="1"/>
              <w:left w:val="single" w:color="CCCCCC" w:sz="1"/>
              <w:bottom w:val="single" w:color="CCCCCC" w:sz="1"/>
              <w:right w:val="single" w:color="CCCCCC" w:sz="1"/>
            </w:tcBorders>
            <w:shd w:fill="F3F7F5" w:val="clear"/>
            <w:tcMar>
              <w:top w:type="dxa" w:w="80"/>
              <w:left w:type="dxa" w:w="120"/>
              <w:bottom w:type="dxa" w:w="80"/>
              <w:right w:type="dxa" w:w="120"/>
            </w:tcMar>
          </w:tcPr>
          <w:p>
            <w:r>
              <w:rPr>
                <w:sz w:val="20"/>
                <w:szCs w:val="20"/>
              </w:rPr>
              <w:t xml:space="preserve">Feature-scoped MVVM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Navigation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Imperative Navigator (MaterialPageRoute)</w:t>
            </w:r>
          </w:p>
        </w:tc>
      </w:tr>
      <w:tr>
        <w:tc>
          <w:tcPr>
            <w:tcW w:type="dxa" w:w="3000"/>
            <w:tcBorders>
              <w:top w:val="single" w:color="CCCCCC" w:sz="1"/>
              <w:left w:val="single" w:color="CCCCCC" w:sz="1"/>
              <w:bottom w:val="single" w:color="CCCCCC" w:sz="1"/>
              <w:right w:val="single" w:color="CCCCCC" w:sz="1"/>
            </w:tcBorders>
            <w:shd w:fill="F3F7F5" w:val="clear"/>
            <w:tcMar>
              <w:top w:type="dxa" w:w="80"/>
              <w:left w:type="dxa" w:w="120"/>
              <w:bottom w:type="dxa" w:w="80"/>
              <w:right w:type="dxa" w:w="120"/>
            </w:tcMar>
          </w:tcPr>
          <w:p>
            <w:r>
              <w:rPr>
                <w:sz w:val="20"/>
                <w:szCs w:val="20"/>
              </w:rPr>
              <w:t xml:space="preserve">Backend</w:t>
            </w:r>
          </w:p>
        </w:tc>
        <w:tc>
          <w:tcPr>
            <w:tcW w:type="dxa" w:w="6360"/>
            <w:tcBorders>
              <w:top w:val="single" w:color="CCCCCC" w:sz="1"/>
              <w:left w:val="single" w:color="CCCCCC" w:sz="1"/>
              <w:bottom w:val="single" w:color="CCCCCC" w:sz="1"/>
              <w:right w:val="single" w:color="CCCCCC" w:sz="1"/>
            </w:tcBorders>
            <w:shd w:fill="F3F7F5" w:val="clear"/>
            <w:tcMar>
              <w:top w:type="dxa" w:w="80"/>
              <w:left w:type="dxa" w:w="120"/>
              <w:bottom w:type="dxa" w:w="80"/>
              <w:right w:type="dxa" w:w="120"/>
            </w:tcMar>
          </w:tcPr>
          <w:p>
            <w:r>
              <w:rPr>
                <w:sz w:val="20"/>
                <w:szCs w:val="20"/>
              </w:rPr>
              <w:t xml:space="preserve">Supabase — Postgres, PostGIS, Auth, Storage, Realtime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Models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freezed + json_serializable (Order, OrderProof)</w:t>
            </w:r>
          </w:p>
        </w:tc>
      </w:tr>
      <w:tr>
        <w:tc>
          <w:tcPr>
            <w:tcW w:type="dxa" w:w="3000"/>
            <w:tcBorders>
              <w:top w:val="single" w:color="CCCCCC" w:sz="1"/>
              <w:left w:val="single" w:color="CCCCCC" w:sz="1"/>
              <w:bottom w:val="single" w:color="CCCCCC" w:sz="1"/>
              <w:right w:val="single" w:color="CCCCCC" w:sz="1"/>
            </w:tcBorders>
            <w:shd w:fill="F3F7F5" w:val="clear"/>
            <w:tcMar>
              <w:top w:type="dxa" w:w="80"/>
              <w:left w:type="dxa" w:w="120"/>
              <w:bottom w:type="dxa" w:w="80"/>
              <w:right w:type="dxa" w:w="120"/>
            </w:tcMar>
          </w:tcPr>
          <w:p>
            <w:r>
              <w:rPr>
                <w:sz w:val="20"/>
                <w:szCs w:val="20"/>
              </w:rPr>
              <w:t xml:space="preserve">AI</w:t>
            </w:r>
          </w:p>
        </w:tc>
        <w:tc>
          <w:tcPr>
            <w:tcW w:type="dxa" w:w="6360"/>
            <w:tcBorders>
              <w:top w:val="single" w:color="CCCCCC" w:sz="1"/>
              <w:left w:val="single" w:color="CCCCCC" w:sz="1"/>
              <w:bottom w:val="single" w:color="CCCCCC" w:sz="1"/>
              <w:right w:val="single" w:color="CCCCCC" w:sz="1"/>
            </w:tcBorders>
            <w:shd w:fill="F3F7F5" w:val="clear"/>
            <w:tcMar>
              <w:top w:type="dxa" w:w="80"/>
              <w:left w:type="dxa" w:w="120"/>
              <w:bottom w:type="dxa" w:w="80"/>
              <w:right w:type="dxa" w:w="120"/>
            </w:tcMar>
          </w:tcPr>
          <w:p>
            <w:r>
              <w:rPr>
                <w:sz w:val="20"/>
                <w:szCs w:val="20"/>
              </w:rPr>
              <w:t xml:space="preserve">Google Gemini (document scan, marketplace assist)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Fonts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Cairo (Arabic) + DM Sans (numerals) via google_fonts</w:t>
            </w:r>
          </w:p>
        </w:tc>
      </w:tr>
      <w:tr>
        <w:tc>
          <w:tcPr>
            <w:tcW w:type="dxa" w:w="3000"/>
            <w:tcBorders>
              <w:top w:val="single" w:color="CCCCCC" w:sz="1"/>
              <w:left w:val="single" w:color="CCCCCC" w:sz="1"/>
              <w:bottom w:val="single" w:color="CCCCCC" w:sz="1"/>
              <w:right w:val="single" w:color="CCCCCC" w:sz="1"/>
            </w:tcBorders>
            <w:shd w:fill="F3F7F5" w:val="clear"/>
            <w:tcMar>
              <w:top w:type="dxa" w:w="80"/>
              <w:left w:type="dxa" w:w="120"/>
              <w:bottom w:type="dxa" w:w="80"/>
              <w:right w:type="dxa" w:w="120"/>
            </w:tcMar>
          </w:tcPr>
          <w:p>
            <w:r>
              <w:rPr>
                <w:sz w:val="20"/>
                <w:szCs w:val="20"/>
              </w:rPr>
              <w:t xml:space="preserve">Localisation</w:t>
            </w:r>
          </w:p>
        </w:tc>
        <w:tc>
          <w:tcPr>
            <w:tcW w:type="dxa" w:w="6360"/>
            <w:tcBorders>
              <w:top w:val="single" w:color="CCCCCC" w:sz="1"/>
              <w:left w:val="single" w:color="CCCCCC" w:sz="1"/>
              <w:bottom w:val="single" w:color="CCCCCC" w:sz="1"/>
              <w:right w:val="single" w:color="CCCCCC" w:sz="1"/>
            </w:tcBorders>
            <w:shd w:fill="F3F7F5" w:val="clear"/>
            <w:tcMar>
              <w:top w:type="dxa" w:w="80"/>
              <w:left w:type="dxa" w:w="120"/>
              <w:bottom w:type="dxa" w:w="80"/>
              <w:right w:type="dxa" w:w="120"/>
            </w:tcMar>
          </w:tcPr>
          <w:p>
            <w:r>
              <w:rPr>
                <w:sz w:val="20"/>
                <w:szCs w:val="20"/>
              </w:rPr>
              <w:t xml:space="preserve">Bilingual ar/en via .arb files (Arabic template)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Maps / location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geolocator, geocoding, PostGIS proximity</w:t>
            </w:r>
          </w:p>
        </w:tc>
      </w:tr>
    </w:tbl>
    <w:p>
      <w:pPr>
        <w:pStyle w:val="Heading2"/>
      </w:pPr>
      <w:r>
        <w:t xml:space="preserve">3.2 Layering</w:t>
      </w:r>
    </w:p>
    <w:p>
      <w:pPr>
        <w:spacing w:after="120"/>
      </w:pPr>
      <w:r>
        <w:t xml:space="preserve">The codebase separates concerns into four layers under lib/:</w:t>
      </w:r>
    </w:p>
    <w:p>
      <w:pPr>
        <w:pStyle w:val="ListParagraph"/>
        <w:numPr>
          <w:ilvl w:val="0"/>
          <w:numId w:val="2"/>
        </w:numPr>
      </w:pPr>
      <w:r>
        <w:rPr>
          <w:b/>
          <w:bCs/>
        </w:rPr>
        <w:t xml:space="preserve">domain/ </w:t>
      </w:r>
      <w:r>
        <w:t xml:space="preserve">— interfaces only (i_*_repository, i_*_service), entities, AppFailure.</w:t>
      </w:r>
    </w:p>
    <w:p>
      <w:pPr>
        <w:pStyle w:val="ListParagraph"/>
        <w:numPr>
          <w:ilvl w:val="0"/>
          <w:numId w:val="2"/>
        </w:numPr>
      </w:pPr>
      <w:r>
        <w:rPr>
          <w:b/>
          <w:bCs/>
        </w:rPr>
        <w:t xml:space="preserve">data/ </w:t>
      </w:r>
      <w:r>
        <w:t xml:space="preserve">— implementations: mock_* and supabase_* repositories, services, freezed models.</w:t>
      </w:r>
    </w:p>
    <w:p>
      <w:pPr>
        <w:pStyle w:val="ListParagraph"/>
        <w:numPr>
          <w:ilvl w:val="0"/>
          <w:numId w:val="2"/>
        </w:numPr>
      </w:pPr>
      <w:r>
        <w:rPr>
          <w:b/>
          <w:bCs/>
        </w:rPr>
        <w:t xml:space="preserve">core/ </w:t>
      </w:r>
      <w:r>
        <w:t xml:space="preserve">— config, constants, theme, Result type, ViewState.</w:t>
      </w:r>
    </w:p>
    <w:p>
      <w:pPr>
        <w:pStyle w:val="ListParagraph"/>
        <w:numPr>
          <w:ilvl w:val="0"/>
          <w:numId w:val="2"/>
        </w:numPr>
      </w:pPr>
      <w:r>
        <w:rPr>
          <w:b/>
          <w:bCs/>
        </w:rPr>
        <w:t xml:space="preserve">ui/ </w:t>
      </w:r>
      <w:r>
        <w:t xml:space="preserve">— feature-scoped MVVM (auth, chat, chatbot, earnings, home, splash).</w:t>
      </w:r>
    </w:p>
    <w:p>
      <w:pPr>
        <w:pStyle w:val="Heading2"/>
      </w:pPr>
      <w:r>
        <w:t xml:space="preserve">3.3 Data Flow</w:t>
      </w:r>
    </w:p>
    <w:p>
      <w:pPr>
        <w:spacing w:after="120"/>
      </w:pPr>
      <w:r>
        <w:t xml:space="preserve">Data flow is hybrid. AppOrderStore is the central ChangeNotifier for all order state, provided app-wide. It writes to a local JSON store (survives restarts) and mirrors to SupabaseOrderRepository. Mock and Supabase implementations are bound through domain interfaces in main.dart's MultiProvider, so swapping mock → real is a one-line change.</w:t>
      </w:r>
    </w:p>
    <w:p>
      <w:pPr>
        <w:pStyle w:val="Heading2"/>
      </w:pPr>
      <w:r>
        <w:t xml:space="preserve">3.4 Design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CCCCCC" w:sz="1"/>
              <w:left w:val="single" w:color="CCCCCC" w:sz="1"/>
              <w:bottom w:val="single" w:color="CCCCCC" w:sz="1"/>
              <w:right w:val="single" w:color="CCCCCC" w:sz="1"/>
            </w:tcBorders>
            <w:shd w:fill="0F5A34" w:val="clear"/>
            <w:tcMar>
              <w:top w:type="dxa" w:w="80"/>
              <w:left w:type="dxa" w:w="120"/>
              <w:bottom w:type="dxa" w:w="80"/>
              <w:right w:type="dxa" w:w="120"/>
            </w:tcMar>
          </w:tcPr>
          <w:p>
            <w:r>
              <w:rPr>
                <w:b/>
                <w:bCs/>
                <w:color w:val="FFFFFF"/>
                <w:sz w:val="20"/>
                <w:szCs w:val="20"/>
              </w:rPr>
              <w:t xml:space="preserve">Token</w:t>
            </w:r>
          </w:p>
        </w:tc>
        <w:tc>
          <w:tcPr>
            <w:tcW w:type="dxa" w:w="2000"/>
            <w:tcBorders>
              <w:top w:val="single" w:color="CCCCCC" w:sz="1"/>
              <w:left w:val="single" w:color="CCCCCC" w:sz="1"/>
              <w:bottom w:val="single" w:color="CCCCCC" w:sz="1"/>
              <w:right w:val="single" w:color="CCCCCC" w:sz="1"/>
            </w:tcBorders>
            <w:shd w:fill="0F5A34" w:val="clear"/>
            <w:tcMar>
              <w:top w:type="dxa" w:w="80"/>
              <w:left w:type="dxa" w:w="120"/>
              <w:bottom w:type="dxa" w:w="80"/>
              <w:right w:type="dxa" w:w="120"/>
            </w:tcMar>
          </w:tcPr>
          <w:p>
            <w:r>
              <w:rPr>
                <w:b/>
                <w:bCs/>
                <w:color w:val="FFFFFF"/>
                <w:sz w:val="20"/>
                <w:szCs w:val="20"/>
              </w:rPr>
              <w:t xml:space="preserve">Hex</w:t>
            </w:r>
          </w:p>
        </w:tc>
        <w:tc>
          <w:tcPr>
            <w:tcW w:type="dxa" w:w="4560"/>
            <w:tcBorders>
              <w:top w:val="single" w:color="CCCCCC" w:sz="1"/>
              <w:left w:val="single" w:color="CCCCCC" w:sz="1"/>
              <w:bottom w:val="single" w:color="CCCCCC" w:sz="1"/>
              <w:right w:val="single" w:color="CCCCCC" w:sz="1"/>
            </w:tcBorders>
            <w:shd w:fill="0F5A34" w:val="clear"/>
            <w:tcMar>
              <w:top w:type="dxa" w:w="80"/>
              <w:left w:type="dxa" w:w="120"/>
              <w:bottom w:type="dxa" w:w="80"/>
              <w:right w:type="dxa" w:w="120"/>
            </w:tcMar>
          </w:tcPr>
          <w:p>
            <w:r>
              <w:rPr>
                <w:b/>
                <w:bCs/>
                <w:color w:val="FFFFFF"/>
                <w:sz w:val="20"/>
                <w:szCs w:val="20"/>
              </w:rPr>
              <w:t xml:space="preserve">Usage</w:t>
            </w:r>
          </w:p>
        </w:tc>
      </w:tr>
      <w:tr>
        <w:tc>
          <w:tcPr>
            <w:tcW w:type="dxa" w:w="2800"/>
            <w:tcBorders>
              <w:top w:val="single" w:color="CCCCCC" w:sz="1"/>
              <w:left w:val="single" w:color="CCCCCC" w:sz="1"/>
              <w:bottom w:val="single" w:color="CCCCCC" w:sz="1"/>
              <w:right w:val="single" w:color="CCCCCC" w:sz="1"/>
            </w:tcBorders>
            <w:shd w:fill="F3F7F5" w:val="clear"/>
            <w:tcMar>
              <w:top w:type="dxa" w:w="80"/>
              <w:left w:type="dxa" w:w="120"/>
              <w:bottom w:type="dxa" w:w="80"/>
              <w:right w:type="dxa" w:w="120"/>
            </w:tcMar>
          </w:tcPr>
          <w:p>
            <w:r>
              <w:rPr>
                <w:sz w:val="20"/>
                <w:szCs w:val="20"/>
              </w:rPr>
              <w:t xml:space="preserve">Primary Green</w:t>
            </w:r>
          </w:p>
        </w:tc>
        <w:tc>
          <w:tcPr>
            <w:tcW w:type="dxa" w:w="2000"/>
            <w:tcBorders>
              <w:top w:val="single" w:color="CCCCCC" w:sz="1"/>
              <w:left w:val="single" w:color="CCCCCC" w:sz="1"/>
              <w:bottom w:val="single" w:color="CCCCCC" w:sz="1"/>
              <w:right w:val="single" w:color="CCCCCC" w:sz="1"/>
            </w:tcBorders>
            <w:shd w:fill="F3F7F5" w:val="clear"/>
            <w:tcMar>
              <w:top w:type="dxa" w:w="80"/>
              <w:left w:type="dxa" w:w="120"/>
              <w:bottom w:type="dxa" w:w="80"/>
              <w:right w:type="dxa" w:w="120"/>
            </w:tcMar>
          </w:tcPr>
          <w:p>
            <w:r>
              <w:rPr>
                <w:sz w:val="20"/>
                <w:szCs w:val="20"/>
              </w:rPr>
              <w:t xml:space="preserve">#0F5A34</w:t>
            </w:r>
          </w:p>
        </w:tc>
        <w:tc>
          <w:tcPr>
            <w:tcW w:type="dxa" w:w="4560"/>
            <w:tcBorders>
              <w:top w:val="single" w:color="CCCCCC" w:sz="1"/>
              <w:left w:val="single" w:color="CCCCCC" w:sz="1"/>
              <w:bottom w:val="single" w:color="CCCCCC" w:sz="1"/>
              <w:right w:val="single" w:color="CCCCCC" w:sz="1"/>
            </w:tcBorders>
            <w:shd w:fill="F3F7F5" w:val="clear"/>
            <w:tcMar>
              <w:top w:type="dxa" w:w="80"/>
              <w:left w:type="dxa" w:w="120"/>
              <w:bottom w:type="dxa" w:w="80"/>
              <w:right w:type="dxa" w:w="120"/>
            </w:tcMar>
          </w:tcPr>
          <w:p>
            <w:r>
              <w:rPr>
                <w:sz w:val="20"/>
                <w:szCs w:val="20"/>
              </w:rPr>
              <w:t xml:space="preserve">Headers, active states, primary buttons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Primary Dark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#06331C</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Gradient ends, high-contrast surfaces</w:t>
            </w:r>
          </w:p>
        </w:tc>
      </w:tr>
      <w:tr>
        <w:tc>
          <w:tcPr>
            <w:tcW w:type="dxa" w:w="2800"/>
            <w:tcBorders>
              <w:top w:val="single" w:color="CCCCCC" w:sz="1"/>
              <w:left w:val="single" w:color="CCCCCC" w:sz="1"/>
              <w:bottom w:val="single" w:color="CCCCCC" w:sz="1"/>
              <w:right w:val="single" w:color="CCCCCC" w:sz="1"/>
            </w:tcBorders>
            <w:shd w:fill="F3F7F5" w:val="clear"/>
            <w:tcMar>
              <w:top w:type="dxa" w:w="80"/>
              <w:left w:type="dxa" w:w="120"/>
              <w:bottom w:type="dxa" w:w="80"/>
              <w:right w:type="dxa" w:w="120"/>
            </w:tcMar>
          </w:tcPr>
          <w:p>
            <w:r>
              <w:rPr>
                <w:sz w:val="20"/>
                <w:szCs w:val="20"/>
              </w:rPr>
              <w:t xml:space="preserve">Accent Amber</w:t>
            </w:r>
          </w:p>
        </w:tc>
        <w:tc>
          <w:tcPr>
            <w:tcW w:type="dxa" w:w="2000"/>
            <w:tcBorders>
              <w:top w:val="single" w:color="CCCCCC" w:sz="1"/>
              <w:left w:val="single" w:color="CCCCCC" w:sz="1"/>
              <w:bottom w:val="single" w:color="CCCCCC" w:sz="1"/>
              <w:right w:val="single" w:color="CCCCCC" w:sz="1"/>
            </w:tcBorders>
            <w:shd w:fill="F3F7F5" w:val="clear"/>
            <w:tcMar>
              <w:top w:type="dxa" w:w="80"/>
              <w:left w:type="dxa" w:w="120"/>
              <w:bottom w:type="dxa" w:w="80"/>
              <w:right w:type="dxa" w:w="120"/>
            </w:tcMar>
          </w:tcPr>
          <w:p>
            <w:r>
              <w:rPr>
                <w:sz w:val="20"/>
                <w:szCs w:val="20"/>
              </w:rPr>
              <w:t xml:space="preserve">#D97706</w:t>
            </w:r>
          </w:p>
        </w:tc>
        <w:tc>
          <w:tcPr>
            <w:tcW w:type="dxa" w:w="4560"/>
            <w:tcBorders>
              <w:top w:val="single" w:color="CCCCCC" w:sz="1"/>
              <w:left w:val="single" w:color="CCCCCC" w:sz="1"/>
              <w:bottom w:val="single" w:color="CCCCCC" w:sz="1"/>
              <w:right w:val="single" w:color="CCCCCC" w:sz="1"/>
            </w:tcBorders>
            <w:shd w:fill="F3F7F5" w:val="clear"/>
            <w:tcMar>
              <w:top w:type="dxa" w:w="80"/>
              <w:left w:type="dxa" w:w="120"/>
              <w:bottom w:type="dxa" w:w="80"/>
              <w:right w:type="dxa" w:w="120"/>
            </w:tcMar>
          </w:tcPr>
          <w:p>
            <w:r>
              <w:rPr>
                <w:sz w:val="20"/>
                <w:szCs w:val="20"/>
              </w:rPr>
              <w:t xml:space="preserve">Points, pending status, earnings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eFawateercom Teal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#00796B</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Government payment row (CBJ brand)</w:t>
            </w:r>
          </w:p>
        </w:tc>
      </w:tr>
      <w:tr>
        <w:tc>
          <w:tcPr>
            <w:tcW w:type="dxa" w:w="2800"/>
            <w:tcBorders>
              <w:top w:val="single" w:color="CCCCCC" w:sz="1"/>
              <w:left w:val="single" w:color="CCCCCC" w:sz="1"/>
              <w:bottom w:val="single" w:color="CCCCCC" w:sz="1"/>
              <w:right w:val="single" w:color="CCCCCC" w:sz="1"/>
            </w:tcBorders>
            <w:shd w:fill="F3F7F5" w:val="clear"/>
            <w:tcMar>
              <w:top w:type="dxa" w:w="80"/>
              <w:left w:type="dxa" w:w="120"/>
              <w:bottom w:type="dxa" w:w="80"/>
              <w:right w:type="dxa" w:w="120"/>
            </w:tcMar>
          </w:tcPr>
          <w:p>
            <w:r>
              <w:rPr>
                <w:sz w:val="20"/>
                <w:szCs w:val="20"/>
              </w:rPr>
              <w:t xml:space="preserve">Background</w:t>
            </w:r>
          </w:p>
        </w:tc>
        <w:tc>
          <w:tcPr>
            <w:tcW w:type="dxa" w:w="2000"/>
            <w:tcBorders>
              <w:top w:val="single" w:color="CCCCCC" w:sz="1"/>
              <w:left w:val="single" w:color="CCCCCC" w:sz="1"/>
              <w:bottom w:val="single" w:color="CCCCCC" w:sz="1"/>
              <w:right w:val="single" w:color="CCCCCC" w:sz="1"/>
            </w:tcBorders>
            <w:shd w:fill="F3F7F5" w:val="clear"/>
            <w:tcMar>
              <w:top w:type="dxa" w:w="80"/>
              <w:left w:type="dxa" w:w="120"/>
              <w:bottom w:type="dxa" w:w="80"/>
              <w:right w:type="dxa" w:w="120"/>
            </w:tcMar>
          </w:tcPr>
          <w:p>
            <w:r>
              <w:rPr>
                <w:sz w:val="20"/>
                <w:szCs w:val="20"/>
              </w:rPr>
              <w:t xml:space="preserve">#F3F7F5</w:t>
            </w:r>
          </w:p>
        </w:tc>
        <w:tc>
          <w:tcPr>
            <w:tcW w:type="dxa" w:w="4560"/>
            <w:tcBorders>
              <w:top w:val="single" w:color="CCCCCC" w:sz="1"/>
              <w:left w:val="single" w:color="CCCCCC" w:sz="1"/>
              <w:bottom w:val="single" w:color="CCCCCC" w:sz="1"/>
              <w:right w:val="single" w:color="CCCCCC" w:sz="1"/>
            </w:tcBorders>
            <w:shd w:fill="F3F7F5" w:val="clear"/>
            <w:tcMar>
              <w:top w:type="dxa" w:w="80"/>
              <w:left w:type="dxa" w:w="120"/>
              <w:bottom w:type="dxa" w:w="80"/>
              <w:right w:type="dxa" w:w="120"/>
            </w:tcMar>
          </w:tcPr>
          <w:p>
            <w:r>
              <w:rPr>
                <w:sz w:val="20"/>
                <w:szCs w:val="20"/>
              </w:rPr>
              <w:t xml:space="preserve">Screen backgrounds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Muted Text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#6A7973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Secondary labels</w:t>
            </w:r>
          </w:p>
        </w:tc>
      </w:tr>
    </w:tbl>
    <w:p>
      <w:pPr>
        <w:spacing w:after="120"/>
      </w:pPr>
      <w:r>
        <w:t xml:space="preserve">Light and dark themes are token-driven (AppColors), toggled by AppThemeNotifier. The whole app is forced portrait and defaults to RTL.</w:t>
      </w:r>
    </w:p>
    <w:p>
      <w:pPr>
        <w:pStyle w:val="Heading1"/>
      </w:pPr>
      <w:r>
        <w:t xml:space="preserve">4. Features Delivered</w:t>
      </w:r>
    </w:p>
    <w:p>
      <w:pPr>
        <w:pStyle w:val="Heading2"/>
      </w:pPr>
      <w:r>
        <w:t xml:space="preserve">4.1 Onboarding &amp; Authentication</w:t>
      </w:r>
    </w:p>
    <w:p>
      <w:pPr>
        <w:pStyle w:val="ListParagraph"/>
        <w:numPr>
          <w:ilvl w:val="0"/>
          <w:numId w:val="2"/>
        </w:numPr>
      </w:pPr>
      <w:r>
        <w:t xml:space="preserve">Animated splash screen → login (phone or email) → OTP verification → role-aware home.</w:t>
      </w:r>
    </w:p>
    <w:p>
      <w:pPr>
        <w:pStyle w:val="ListParagraph"/>
        <w:numPr>
          <w:ilvl w:val="0"/>
          <w:numId w:val="2"/>
        </w:numPr>
      </w:pPr>
      <w:r>
        <w:t xml:space="preserve">Phone-first, progressive, role-aware signup wizard with AI document scanning (vehicle registration, business licence) via Gemini.</w:t>
      </w:r>
    </w:p>
    <w:p>
      <w:pPr>
        <w:pStyle w:val="ListParagraph"/>
        <w:numPr>
          <w:ilvl w:val="0"/>
          <w:numId w:val="2"/>
        </w:numPr>
      </w:pPr>
      <w:r>
        <w:t xml:space="preserve">MockAuthRepository today; SupabaseAuthRepository written and partially wired (phone OTP).</w:t>
      </w:r>
    </w:p>
    <w:p>
      <w:pPr>
        <w:pStyle w:val="Heading2"/>
      </w:pPr>
      <w:r>
        <w:t xml:space="preserve">4.2 Role Home Shells</w:t>
      </w:r>
    </w:p>
    <w:p>
      <w:pPr>
        <w:spacing w:after="120"/>
      </w:pPr>
      <w:r>
        <w:t xml:space="preserve">Each role has its own home shell with a bottom navigation bar and feature-scoped ViewModels:</w:t>
      </w:r>
    </w:p>
    <w:p>
      <w:pPr>
        <w:pStyle w:val="ListParagraph"/>
        <w:numPr>
          <w:ilvl w:val="0"/>
          <w:numId w:val="2"/>
        </w:numPr>
      </w:pPr>
      <w:r>
        <w:t xml:space="preserve">Driver — Home (available jobs, availability toggle, KPIs), Orders, Profile; live GPS publishing, proximity/arrival verification, ghost-job timers, earnings &amp; wallet.</w:t>
      </w:r>
    </w:p>
    <w:p>
      <w:pPr>
        <w:pStyle w:val="ListParagraph"/>
        <w:numPr>
          <w:ilvl w:val="0"/>
          <w:numId w:val="2"/>
        </w:numPr>
      </w:pPr>
      <w:r>
        <w:t xml:space="preserve">Supplier (individual) &amp; Restaurant — Home, Marketplace, My Orders, Profile; pickup-request wizard.</w:t>
      </w:r>
    </w:p>
    <w:p>
      <w:pPr>
        <w:pStyle w:val="ListParagraph"/>
        <w:numPr>
          <w:ilvl w:val="0"/>
          <w:numId w:val="2"/>
        </w:numPr>
      </w:pPr>
      <w:r>
        <w:t xml:space="preserve">Recycling Company — Home, Orders, Profile; posts collection jobs, tracks shipments &amp; processed weight.</w:t>
      </w:r>
    </w:p>
    <w:p>
      <w:pPr>
        <w:pStyle w:val="Heading2"/>
      </w:pPr>
      <w:r>
        <w:t xml:space="preserve">4.3 Orders &amp; Marketplace</w:t>
      </w:r>
    </w:p>
    <w:p>
      <w:pPr>
        <w:pStyle w:val="ListParagraph"/>
        <w:numPr>
          <w:ilvl w:val="0"/>
          <w:numId w:val="2"/>
        </w:numPr>
      </w:pPr>
      <w:r>
        <w:t xml:space="preserve">Order is a freezed model with rich enums: OrderType, OrderStatus, 15 WasteTypes, WasteForm, WeightCategory, PickupTarget, VehicleType.</w:t>
      </w:r>
    </w:p>
    <w:p>
      <w:pPr>
        <w:pStyle w:val="ListParagraph"/>
        <w:numPr>
          <w:ilvl w:val="0"/>
          <w:numId w:val="2"/>
        </w:numPr>
      </w:pPr>
      <w:r>
        <w:t xml:space="preserve">Order lifecycle: pending → accepted → arrivedAtPickup → inTransit → arrivedAtDropoff → completed (or cancelled).</w:t>
      </w:r>
    </w:p>
    <w:p>
      <w:pPr>
        <w:pStyle w:val="ListParagraph"/>
        <w:numPr>
          <w:ilvl w:val="0"/>
          <w:numId w:val="2"/>
        </w:numPr>
      </w:pPr>
      <w:r>
        <w:t xml:space="preserve">Shared marketplace tab across all roles, role-aware (driver claims, supplier purchases, company receives).</w:t>
      </w:r>
    </w:p>
    <w:p>
      <w:pPr>
        <w:pStyle w:val="ListParagraph"/>
        <w:numPr>
          <w:ilvl w:val="0"/>
          <w:numId w:val="2"/>
        </w:numPr>
      </w:pPr>
      <w:r>
        <w:t xml:space="preserve">Full Order Details view: status timeline, route/map section, driver &amp; customer cards, proof upload, earnings, action buttons.</w:t>
      </w:r>
    </w:p>
    <w:p>
      <w:pPr>
        <w:pStyle w:val="ListParagraph"/>
        <w:numPr>
          <w:ilvl w:val="0"/>
          <w:numId w:val="2"/>
        </w:numPr>
      </w:pPr>
      <w:r>
        <w:t xml:space="preserve">Collection-sale lifecycle for company-posted jobs with per-kg payment and weight confirmation.</w:t>
      </w:r>
    </w:p>
    <w:p>
      <w:pPr>
        <w:pStyle w:val="Heading2"/>
      </w:pPr>
      <w:r>
        <w:t xml:space="preserve">4.4 Pricing, Wallet &amp; Rewards</w:t>
      </w:r>
    </w:p>
    <w:p>
      <w:pPr>
        <w:spacing w:after="120"/>
      </w:pPr>
      <w:r>
        <w:t xml:space="preserve">A fee calculator prices each job from a base fee, distance, weight surcharge, material rate and urgency bonus, then applies a platform commission. Drivers have an escrow-style wallet (available balance + held amount); suppliers earn reward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0F5A34" w:val="clear"/>
            <w:tcMar>
              <w:top w:type="dxa" w:w="80"/>
              <w:left w:type="dxa" w:w="120"/>
              <w:bottom w:type="dxa" w:w="80"/>
              <w:right w:type="dxa" w:w="120"/>
            </w:tcMar>
          </w:tcPr>
          <w:p>
            <w:r>
              <w:rPr>
                <w:b/>
                <w:bCs/>
                <w:color w:val="FFFFFF"/>
                <w:sz w:val="20"/>
                <w:szCs w:val="20"/>
              </w:rPr>
              <w:t xml:space="preserve">Component</w:t>
            </w:r>
          </w:p>
        </w:tc>
        <w:tc>
          <w:tcPr>
            <w:tcW w:type="dxa" w:w="6160"/>
            <w:tcBorders>
              <w:top w:val="single" w:color="CCCCCC" w:sz="1"/>
              <w:left w:val="single" w:color="CCCCCC" w:sz="1"/>
              <w:bottom w:val="single" w:color="CCCCCC" w:sz="1"/>
              <w:right w:val="single" w:color="CCCCCC" w:sz="1"/>
            </w:tcBorders>
            <w:shd w:fill="0F5A34" w:val="clear"/>
            <w:tcMar>
              <w:top w:type="dxa" w:w="80"/>
              <w:left w:type="dxa" w:w="120"/>
              <w:bottom w:type="dxa" w:w="80"/>
              <w:right w:type="dxa" w:w="120"/>
            </w:tcMar>
          </w:tcPr>
          <w:p>
            <w:r>
              <w:rPr>
                <w:b/>
                <w:bCs/>
                <w:color w:val="FFFFFF"/>
                <w:sz w:val="20"/>
                <w:szCs w:val="20"/>
              </w:rPr>
              <w:t xml:space="preserve">Basis</w:t>
            </w:r>
          </w:p>
        </w:tc>
      </w:tr>
      <w:tr>
        <w:tc>
          <w:tcPr>
            <w:tcW w:type="dxa" w:w="3200"/>
            <w:tcBorders>
              <w:top w:val="single" w:color="CCCCCC" w:sz="1"/>
              <w:left w:val="single" w:color="CCCCCC" w:sz="1"/>
              <w:bottom w:val="single" w:color="CCCCCC" w:sz="1"/>
              <w:right w:val="single" w:color="CCCCCC" w:sz="1"/>
            </w:tcBorders>
            <w:shd w:fill="F3F7F5" w:val="clear"/>
            <w:tcMar>
              <w:top w:type="dxa" w:w="80"/>
              <w:left w:type="dxa" w:w="120"/>
              <w:bottom w:type="dxa" w:w="80"/>
              <w:right w:type="dxa" w:w="120"/>
            </w:tcMar>
          </w:tcPr>
          <w:p>
            <w:r>
              <w:rPr>
                <w:sz w:val="20"/>
                <w:szCs w:val="20"/>
              </w:rPr>
              <w:t xml:space="preserve">Base fee</w:t>
            </w:r>
          </w:p>
        </w:tc>
        <w:tc>
          <w:tcPr>
            <w:tcW w:type="dxa" w:w="6160"/>
            <w:tcBorders>
              <w:top w:val="single" w:color="CCCCCC" w:sz="1"/>
              <w:left w:val="single" w:color="CCCCCC" w:sz="1"/>
              <w:bottom w:val="single" w:color="CCCCCC" w:sz="1"/>
              <w:right w:val="single" w:color="CCCCCC" w:sz="1"/>
            </w:tcBorders>
            <w:shd w:fill="F3F7F5" w:val="clear"/>
            <w:tcMar>
              <w:top w:type="dxa" w:w="80"/>
              <w:left w:type="dxa" w:w="120"/>
              <w:bottom w:type="dxa" w:w="80"/>
              <w:right w:type="dxa" w:w="120"/>
            </w:tcMar>
          </w:tcPr>
          <w:p>
            <w:r>
              <w:rPr>
                <w:sz w:val="20"/>
                <w:szCs w:val="20"/>
              </w:rPr>
              <w:t xml:space="preserve">Vehicle-type dependent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Distance fee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km × per-vehicle rate</w:t>
            </w:r>
          </w:p>
        </w:tc>
      </w:tr>
      <w:tr>
        <w:tc>
          <w:tcPr>
            <w:tcW w:type="dxa" w:w="3200"/>
            <w:tcBorders>
              <w:top w:val="single" w:color="CCCCCC" w:sz="1"/>
              <w:left w:val="single" w:color="CCCCCC" w:sz="1"/>
              <w:bottom w:val="single" w:color="CCCCCC" w:sz="1"/>
              <w:right w:val="single" w:color="CCCCCC" w:sz="1"/>
            </w:tcBorders>
            <w:shd w:fill="F3F7F5" w:val="clear"/>
            <w:tcMar>
              <w:top w:type="dxa" w:w="80"/>
              <w:left w:type="dxa" w:w="120"/>
              <w:bottom w:type="dxa" w:w="80"/>
              <w:right w:type="dxa" w:w="120"/>
            </w:tcMar>
          </w:tcPr>
          <w:p>
            <w:r>
              <w:rPr>
                <w:sz w:val="20"/>
                <w:szCs w:val="20"/>
              </w:rPr>
              <w:t xml:space="preserve">Weight surcharge</w:t>
            </w:r>
          </w:p>
        </w:tc>
        <w:tc>
          <w:tcPr>
            <w:tcW w:type="dxa" w:w="6160"/>
            <w:tcBorders>
              <w:top w:val="single" w:color="CCCCCC" w:sz="1"/>
              <w:left w:val="single" w:color="CCCCCC" w:sz="1"/>
              <w:bottom w:val="single" w:color="CCCCCC" w:sz="1"/>
              <w:right w:val="single" w:color="CCCCCC" w:sz="1"/>
            </w:tcBorders>
            <w:shd w:fill="F3F7F5" w:val="clear"/>
            <w:tcMar>
              <w:top w:type="dxa" w:w="80"/>
              <w:left w:type="dxa" w:w="120"/>
              <w:bottom w:type="dxa" w:w="80"/>
              <w:right w:type="dxa" w:w="120"/>
            </w:tcMar>
          </w:tcPr>
          <w:p>
            <w:r>
              <w:rPr>
                <w:sz w:val="20"/>
                <w:szCs w:val="20"/>
              </w:rPr>
              <w:t xml:space="preserve">Tiered by total kg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Material fee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kg × per-material rate</w:t>
            </w:r>
          </w:p>
        </w:tc>
      </w:tr>
      <w:tr>
        <w:tc>
          <w:tcPr>
            <w:tcW w:type="dxa" w:w="3200"/>
            <w:tcBorders>
              <w:top w:val="single" w:color="CCCCCC" w:sz="1"/>
              <w:left w:val="single" w:color="CCCCCC" w:sz="1"/>
              <w:bottom w:val="single" w:color="CCCCCC" w:sz="1"/>
              <w:right w:val="single" w:color="CCCCCC" w:sz="1"/>
            </w:tcBorders>
            <w:shd w:fill="F3F7F5" w:val="clear"/>
            <w:tcMar>
              <w:top w:type="dxa" w:w="80"/>
              <w:left w:type="dxa" w:w="120"/>
              <w:bottom w:type="dxa" w:w="80"/>
              <w:right w:type="dxa" w:w="120"/>
            </w:tcMar>
          </w:tcPr>
          <w:p>
            <w:r>
              <w:rPr>
                <w:sz w:val="20"/>
                <w:szCs w:val="20"/>
              </w:rPr>
              <w:t xml:space="preserve">Urgency bonus</w:t>
            </w:r>
          </w:p>
        </w:tc>
        <w:tc>
          <w:tcPr>
            <w:tcW w:type="dxa" w:w="6160"/>
            <w:tcBorders>
              <w:top w:val="single" w:color="CCCCCC" w:sz="1"/>
              <w:left w:val="single" w:color="CCCCCC" w:sz="1"/>
              <w:bottom w:val="single" w:color="CCCCCC" w:sz="1"/>
              <w:right w:val="single" w:color="CCCCCC" w:sz="1"/>
            </w:tcBorders>
            <w:shd w:fill="F3F7F5" w:val="clear"/>
            <w:tcMar>
              <w:top w:type="dxa" w:w="80"/>
              <w:left w:type="dxa" w:w="120"/>
              <w:bottom w:type="dxa" w:w="80"/>
              <w:right w:type="dxa" w:w="120"/>
            </w:tcMar>
          </w:tcPr>
          <w:p>
            <w:r>
              <w:rPr>
                <w:sz w:val="20"/>
                <w:szCs w:val="20"/>
              </w:rPr>
              <w:t xml:space="preserve">Flat add-on for urgent jobs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Platform cut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Commission on gross fee</w:t>
            </w:r>
          </w:p>
        </w:tc>
      </w:tr>
    </w:tbl>
    <w:p>
      <w:pPr>
        <w:pStyle w:val="Heading2"/>
      </w:pPr>
      <w:r>
        <w:t xml:space="preserve">4.5 Order Chat (recent)</w:t>
      </w:r>
    </w:p>
    <w:p>
      <w:pPr>
        <w:pStyle w:val="ListParagraph"/>
        <w:numPr>
          <w:ilvl w:val="0"/>
          <w:numId w:val="2"/>
        </w:numPr>
      </w:pPr>
      <w:r>
        <w:t xml:space="preserve">Order-scoped 1:1 chat between the customer and the assigned driver, one room per order.</w:t>
      </w:r>
    </w:p>
    <w:p>
      <w:pPr>
        <w:pStyle w:val="ListParagraph"/>
        <w:numPr>
          <w:ilvl w:val="0"/>
          <w:numId w:val="2"/>
        </w:numPr>
      </w:pPr>
      <w:r>
        <w:t xml:space="preserve">Pinned order-context card, state-aware quick replies, and an AppBar subtitle showing the other party + live order status.</w:t>
      </w:r>
    </w:p>
    <w:p>
      <w:pPr>
        <w:pStyle w:val="ListParagraph"/>
        <w:numPr>
          <w:ilvl w:val="0"/>
          <w:numId w:val="2"/>
        </w:numPr>
      </w:pPr>
      <w:r>
        <w:t xml:space="preserve">Attachments: image from gallery and live GPS location sharing; BiDi-aware message bubbles.</w:t>
      </w:r>
    </w:p>
    <w:p>
      <w:pPr>
        <w:pStyle w:val="ListParagraph"/>
        <w:numPr>
          <w:ilvl w:val="0"/>
          <w:numId w:val="2"/>
        </w:numPr>
      </w:pPr>
      <w:r>
        <w:t xml:space="preserve">Optimistic send with retry on failure, a typing indicator via Supabase Realtime Broadcast, and a room-lock that disables sending once an order is completed/cancelled while keeping history readable.</w:t>
      </w:r>
    </w:p>
    <w:p>
      <w:pPr>
        <w:pStyle w:val="Heading2"/>
      </w:pPr>
      <w:r>
        <w:t xml:space="preserve">4.6 Profile Redesign + Government Payment (recent)</w:t>
      </w:r>
    </w:p>
    <w:p>
      <w:pPr>
        <w:pStyle w:val="ListParagraph"/>
        <w:numPr>
          <w:ilvl w:val="0"/>
          <w:numId w:val="2"/>
        </w:numPr>
      </w:pPr>
      <w:r>
        <w:t xml:space="preserve">Unified, modern profile shared across all three roles: gradient hero, floating stats card, info sections, app settings, help, and account actions.</w:t>
      </w:r>
    </w:p>
    <w:p>
      <w:pPr>
        <w:pStyle w:val="ListParagraph"/>
        <w:numPr>
          <w:ilvl w:val="0"/>
          <w:numId w:val="2"/>
        </w:numPr>
      </w:pPr>
      <w:r>
        <w:t xml:space="preserve">Six reusable profile widgets extracted, eliminating ~70% duplicated code across the three old profile tabs.</w:t>
      </w:r>
    </w:p>
    <w:p>
      <w:pPr>
        <w:pStyle w:val="ListParagraph"/>
        <w:numPr>
          <w:ilvl w:val="0"/>
          <w:numId w:val="2"/>
        </w:numPr>
      </w:pPr>
      <w:r>
        <w:rPr>
          <w:b/>
          <w:bCs/>
        </w:rPr>
        <w:t xml:space="preserve">New payment section </w:t>
      </w:r>
      <w:r>
        <w:t xml:space="preserve">with a role-aware card — Driver: wallet balance + held funds + withdraw; Supplier: points + progress to next reward; Company: billing-period summary.</w:t>
      </w:r>
    </w:p>
    <w:p>
      <w:pPr>
        <w:pStyle w:val="ListParagraph"/>
        <w:numPr>
          <w:ilvl w:val="0"/>
          <w:numId w:val="2"/>
        </w:numPr>
      </w:pPr>
      <w:r>
        <w:rPr>
          <w:b/>
          <w:bCs/>
        </w:rPr>
        <w:t xml:space="preserve">eFawateercom (فواتيركم) </w:t>
      </w:r>
      <w:r>
        <w:t xml:space="preserve">integration row — Jordan's national e-payment gateway operated by the Central Bank of Jordan — the correct rail for a government-adjacent service.</w:t>
      </w:r>
    </w:p>
    <w:p>
      <w:pPr>
        <w:pStyle w:val="ListParagraph"/>
        <w:numPr>
          <w:ilvl w:val="0"/>
          <w:numId w:val="2"/>
        </w:numPr>
      </w:pPr>
      <w:r>
        <w:t xml:space="preserve">Fixed dark-mode defects and removed duplicate edit actions in the process.</w:t>
      </w:r>
    </w:p>
    <w:p>
      <w:pPr>
        <w:pStyle w:val="Heading2"/>
      </w:pPr>
      <w:r>
        <w:t xml:space="preserve">4.7 Order Tracking Improvements (recent)</w:t>
      </w:r>
    </w:p>
    <w:p>
      <w:pPr>
        <w:pStyle w:val="ListParagraph"/>
        <w:numPr>
          <w:ilvl w:val="0"/>
          <w:numId w:val="2"/>
        </w:numPr>
      </w:pPr>
      <w:r>
        <w:t xml:space="preserve">Upgraded the shared progress stepper to distinguish completed / current / upcoming steps with a 'you are here' halo — benefiting driver, supplier and restaurant cards.</w:t>
      </w:r>
    </w:p>
    <w:p>
      <w:pPr>
        <w:pStyle w:val="ListParagraph"/>
        <w:numPr>
          <w:ilvl w:val="0"/>
          <w:numId w:val="2"/>
        </w:numPr>
      </w:pPr>
      <w:r>
        <w:t xml:space="preserve">Added a plain-language live status banner with an ETA pill on active supplier/restaurant orders, plus a clear 'Track order' (تتبع الطلب) button.</w:t>
      </w:r>
    </w:p>
    <w:p>
      <w:pPr>
        <w:pStyle w:val="Heading2"/>
      </w:pPr>
      <w:r>
        <w:t xml:space="preserve">4.8 AI Capabilities</w:t>
      </w:r>
    </w:p>
    <w:p>
      <w:pPr>
        <w:pStyle w:val="ListParagraph"/>
        <w:numPr>
          <w:ilvl w:val="0"/>
          <w:numId w:val="2"/>
        </w:numPr>
      </w:pPr>
      <w:r>
        <w:t xml:space="preserve">Gemini-powered scanning of vehicle registration and business licences to auto-fill signup fields.</w:t>
      </w:r>
    </w:p>
    <w:p>
      <w:pPr>
        <w:pStyle w:val="ListParagraph"/>
        <w:numPr>
          <w:ilvl w:val="0"/>
          <w:numId w:val="2"/>
        </w:numPr>
      </w:pPr>
      <w:r>
        <w:t xml:space="preserve">Marketplace assistant and asset-scan flows (e.g. oil/wood) with quick-reply chips and scanning loaders.</w:t>
      </w:r>
    </w:p>
    <w:p>
      <w:pPr>
        <w:pStyle w:val="ListParagraph"/>
        <w:numPr>
          <w:ilvl w:val="0"/>
          <w:numId w:val="2"/>
        </w:numPr>
      </w:pPr>
      <w:r>
        <w:t xml:space="preserve">All AI calls sit behind service interfaces with mock implementations for offline/test paths.</w:t>
      </w:r>
    </w:p>
    <w:p>
      <w:pPr>
        <w:pStyle w:val="Heading1"/>
      </w:pPr>
      <w:r>
        <w:t xml:space="preserve">5. Backend &amp; Security</w:t>
      </w:r>
    </w:p>
    <w:p>
      <w:pPr>
        <w:spacing w:after="120"/>
      </w:pPr>
      <w:r>
        <w:t xml:space="preserve">The Supabase backend is defined through versioned SQL migrations covering schema, chat, PostGIS compatibility, chat media, security hardening, RLS fixes, driver locations, marketplace limits, transaction commission, vehicle types and wallet functions.</w:t>
      </w:r>
    </w:p>
    <w:p>
      <w:pPr>
        <w:pStyle w:val="Heading2"/>
      </w:pPr>
      <w:r>
        <w:t xml:space="preserve">5.1 Key Backend Capabilities</w:t>
      </w:r>
    </w:p>
    <w:p>
      <w:pPr>
        <w:pStyle w:val="ListParagraph"/>
        <w:numPr>
          <w:ilvl w:val="0"/>
          <w:numId w:val="2"/>
        </w:numPr>
      </w:pPr>
      <w:r>
        <w:t xml:space="preserve">Postgres schema for users, orders, chat and wallets, with Row-Level Security policies scoping data to its participants.</w:t>
      </w:r>
    </w:p>
    <w:p>
      <w:pPr>
        <w:pStyle w:val="ListParagraph"/>
        <w:numPr>
          <w:ilvl w:val="0"/>
          <w:numId w:val="2"/>
        </w:numPr>
      </w:pPr>
      <w:r>
        <w:t xml:space="preserve">PostGIS-backed driver location streaming and server-side proximity/arrival verification (anti-fraud).</w:t>
      </w:r>
    </w:p>
    <w:p>
      <w:pPr>
        <w:pStyle w:val="ListParagraph"/>
        <w:numPr>
          <w:ilvl w:val="0"/>
          <w:numId w:val="2"/>
        </w:numPr>
      </w:pPr>
      <w:r>
        <w:t xml:space="preserve">Wallet hold/release RPCs for order escrow and a daily payout edge function.</w:t>
      </w:r>
    </w:p>
    <w:p>
      <w:pPr>
        <w:pStyle w:val="ListParagraph"/>
        <w:numPr>
          <w:ilvl w:val="0"/>
          <w:numId w:val="2"/>
        </w:numPr>
      </w:pPr>
      <w:r>
        <w:t xml:space="preserve">Private chat-attachments storage bucket (images only, size-limited) with participant-scoped access.</w:t>
      </w:r>
    </w:p>
    <w:p>
      <w:pPr>
        <w:pStyle w:val="Heading2"/>
      </w:pPr>
      <w:r>
        <w:t xml:space="preserve">5.2 Security Posture</w:t>
      </w:r>
    </w:p>
    <w:p>
      <w:pPr>
        <w:pStyle w:val="ListParagraph"/>
        <w:numPr>
          <w:ilvl w:val="0"/>
          <w:numId w:val="2"/>
        </w:numPr>
      </w:pPr>
      <w:r>
        <w:t xml:space="preserve">Security hardening migrations applied: scoped RLS, revoked public execute, reset PostGIS search path, patched auth.uid() usage.</w:t>
      </w:r>
    </w:p>
    <w:p>
      <w:pPr>
        <w:pStyle w:val="ListParagraph"/>
        <w:numPr>
          <w:ilvl w:val="0"/>
          <w:numId w:val="2"/>
        </w:numPr>
      </w:pPr>
      <w:r>
        <w:rPr>
          <w:b/>
          <w:bCs/>
        </w:rPr>
        <w:t xml:space="preserve">Open item: </w:t>
      </w:r>
      <w:r>
        <w:t xml:space="preserve">mockAuth must be set to false in main.dart before production so Supabase phone OTP is enforced.</w:t>
      </w:r>
    </w:p>
    <w:p>
      <w:pPr>
        <w:pStyle w:val="Heading1"/>
      </w:pPr>
      <w:r>
        <w:t xml:space="preserve">6. Status &amp; Roadmap</w:t>
      </w:r>
    </w:p>
    <w:p>
      <w:pPr>
        <w:pStyle w:val="Heading2"/>
      </w:pPr>
      <w:r>
        <w:t xml:space="preserve">6.1 Done</w:t>
      </w:r>
    </w:p>
    <w:p>
      <w:pPr>
        <w:pStyle w:val="ListParagraph"/>
        <w:numPr>
          <w:ilvl w:val="0"/>
          <w:numId w:val="2"/>
        </w:numPr>
      </w:pPr>
      <w:r>
        <w:t xml:space="preserve">Onboarding, login, OTP, role-aware signup wizard with AI scan</w:t>
      </w:r>
    </w:p>
    <w:p>
      <w:pPr>
        <w:pStyle w:val="ListParagraph"/>
        <w:numPr>
          <w:ilvl w:val="0"/>
          <w:numId w:val="2"/>
        </w:numPr>
      </w:pPr>
      <w:r>
        <w:t xml:space="preserve">All three role home shells with feature-scoped ViewModels</w:t>
      </w:r>
    </w:p>
    <w:p>
      <w:pPr>
        <w:pStyle w:val="ListParagraph"/>
        <w:numPr>
          <w:ilvl w:val="0"/>
          <w:numId w:val="2"/>
        </w:numPr>
      </w:pPr>
      <w:r>
        <w:t xml:space="preserve">Order model, full lifecycle, shared marketplace and order details</w:t>
      </w:r>
    </w:p>
    <w:p>
      <w:pPr>
        <w:pStyle w:val="ListParagraph"/>
        <w:numPr>
          <w:ilvl w:val="0"/>
          <w:numId w:val="2"/>
        </w:numPr>
      </w:pPr>
      <w:r>
        <w:t xml:space="preserve">Pricing engine, driver wallet, supplier rewards</w:t>
      </w:r>
    </w:p>
    <w:p>
      <w:pPr>
        <w:pStyle w:val="ListParagraph"/>
        <w:numPr>
          <w:ilvl w:val="0"/>
          <w:numId w:val="2"/>
        </w:numPr>
      </w:pPr>
      <w:r>
        <w:t xml:space="preserve">Order-scoped chat with media, optimistic send and typing indicator</w:t>
      </w:r>
    </w:p>
    <w:p>
      <w:pPr>
        <w:pStyle w:val="ListParagraph"/>
        <w:numPr>
          <w:ilvl w:val="0"/>
          <w:numId w:val="2"/>
        </w:numPr>
      </w:pPr>
      <w:r>
        <w:t xml:space="preserve">Redesigned cross-role profile with eFawateercom government payment</w:t>
      </w:r>
    </w:p>
    <w:p>
      <w:pPr>
        <w:pStyle w:val="ListParagraph"/>
        <w:numPr>
          <w:ilvl w:val="0"/>
          <w:numId w:val="2"/>
        </w:numPr>
      </w:pPr>
      <w:r>
        <w:t xml:space="preserve">Improved order tracking (stepper + live status banner + track CTA)</w:t>
      </w:r>
    </w:p>
    <w:p>
      <w:pPr>
        <w:pStyle w:val="ListParagraph"/>
        <w:numPr>
          <w:ilvl w:val="0"/>
          <w:numId w:val="2"/>
        </w:numPr>
      </w:pPr>
      <w:r>
        <w:t xml:space="preserve">Supabase infrastructure (migrations, RLS, PostGIS, wallet, storage)</w:t>
      </w:r>
    </w:p>
    <w:p>
      <w:pPr>
        <w:pStyle w:val="Heading2"/>
      </w:pPr>
      <w:r>
        <w:t xml:space="preserve">6.2 Next</w:t>
      </w:r>
    </w:p>
    <w:p>
      <w:pPr>
        <w:pStyle w:val="ListParagraph"/>
        <w:numPr>
          <w:ilvl w:val="0"/>
          <w:numId w:val="2"/>
        </w:numPr>
      </w:pPr>
      <w:r>
        <w:t xml:space="preserve">Flip mockAuth → false and complete live Supabase auth wiring</w:t>
      </w:r>
    </w:p>
    <w:p>
      <w:pPr>
        <w:pStyle w:val="ListParagraph"/>
        <w:numPr>
          <w:ilvl w:val="0"/>
          <w:numId w:val="2"/>
        </w:numPr>
      </w:pPr>
      <w:r>
        <w:t xml:space="preserve">Push notifications (FCM) for orders and chat</w:t>
      </w:r>
    </w:p>
    <w:p>
      <w:pPr>
        <w:pStyle w:val="ListParagraph"/>
        <w:numPr>
          <w:ilvl w:val="0"/>
          <w:numId w:val="2"/>
        </w:numPr>
      </w:pPr>
      <w:r>
        <w:t xml:space="preserve">Unread chat badges on order cards</w:t>
      </w:r>
    </w:p>
    <w:p>
      <w:pPr>
        <w:pStyle w:val="ListParagraph"/>
        <w:numPr>
          <w:ilvl w:val="0"/>
          <w:numId w:val="2"/>
        </w:numPr>
      </w:pPr>
      <w:r>
        <w:t xml:space="preserve">Real-time driver tracking on the customer side + map polish</w:t>
      </w:r>
    </w:p>
    <w:p>
      <w:pPr>
        <w:pStyle w:val="ListParagraph"/>
        <w:numPr>
          <w:ilvl w:val="0"/>
          <w:numId w:val="2"/>
        </w:numPr>
      </w:pPr>
      <w:r>
        <w:t xml:space="preserve">Payout flow and eFawateercom biller registration</w:t>
      </w:r>
    </w:p>
    <w:p>
      <w:pPr>
        <w:pStyle w:val="ListParagraph"/>
        <w:numPr>
          <w:ilvl w:val="0"/>
          <w:numId w:val="2"/>
        </w:numPr>
      </w:pPr>
      <w:r>
        <w:t xml:space="preserve">Chat localisation + pagination; future: auto-translate, voice messages</w:t>
      </w:r>
    </w:p>
    <w:p>
      <w:pPr>
        <w:pBdr>
          <w:top w:val="single" w:color="0F5A34" w:sz="6" w:space="8"/>
        </w:pBdr>
        <w:spacing w:before="360"/>
      </w:pPr>
      <w:r>
        <w:rPr>
          <w:i/>
          <w:iCs/>
          <w:color w:val="6A7973"/>
          <w:sz w:val="18"/>
          <w:szCs w:val="18"/>
        </w:rPr>
        <w:t xml:space="preserve">Dwaar (دوّر) — internal project documentation. Generated 22 June 2026.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A7973"/>
        <w:sz w:val="16"/>
        <w:szCs w:val="16"/>
      </w:rPr>
      <w:t xml:space="preserve">Dwaar — Project Documentation   ·   Page </w:t>
    </w:r>
    <w:r>
      <w:rPr>
        <w:color w:val="6A797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0F5A34"/>
      <w:sz w:val="34"/>
      <w:szCs w:val="34"/>
    </w:rPr>
  </w:style>
  <w:style w:type="paragraph" w:styleId="Heading2">
    <w:name w:val="Heading 2"/>
    <w:basedOn w:val="Normal"/>
    <w:next w:val="Normal"/>
    <w:qFormat/>
    <w:pPr>
      <w:spacing w:after="120" w:before="220"/>
      <w:outlineLvl w:val="1"/>
    </w:pPr>
    <w:rPr>
      <w:rFonts w:ascii="Arial" w:cs="Arial" w:eastAsia="Arial" w:hAnsi="Arial"/>
      <w:b/>
      <w:bCs/>
      <w:color w:val="06331C"/>
      <w:sz w:val="27"/>
      <w:szCs w:val="27"/>
    </w:rPr>
  </w:style>
  <w:style w:type="paragraph" w:styleId="Heading3">
    <w:name w:val="Heading 3"/>
    <w:basedOn w:val="Normal"/>
    <w:next w:val="Normal"/>
    <w:qFormat/>
    <w:pPr>
      <w:spacing w:after="80" w:before="160"/>
      <w:outlineLvl w:val="2"/>
    </w:pPr>
    <w:rPr>
      <w:rFonts w:ascii="Arial" w:cs="Arial" w:eastAsia="Arial" w:hAnsi="Arial"/>
      <w:b/>
      <w:bCs/>
      <w:color w:val="6A797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Dwaar — Project Documentation</dc:title>
  <dc:creator>Dwaar Team</dc:creator>
  <cp:lastModifiedBy>Un-named</cp:lastModifiedBy>
  <cp:revision>1</cp:revision>
  <dcterms:created xsi:type="dcterms:W3CDTF">2026-06-22T19:27:54.658Z</dcterms:created>
  <dcterms:modified xsi:type="dcterms:W3CDTF">2026-06-22T19:27:54.659Z</dcterms:modified>
</cp:coreProperties>
</file>

<file path=docProps/custom.xml><?xml version="1.0" encoding="utf-8"?>
<Properties xmlns="http://schemas.openxmlformats.org/officeDocument/2006/custom-properties" xmlns:vt="http://schemas.openxmlformats.org/officeDocument/2006/docPropsVTypes"/>
</file>