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w:t>
      </w:r>
      <w:bookmarkStart w:id="31" w:name="_GoBack"/>
      <w:bookmarkEnd w:id="31"/>
      <w:r>
        <w:rPr>
          <w:rFonts w:hint="eastAsia" w:eastAsia="宋体"/>
          <w:color w:val="000000" w:themeColor="text1"/>
          <w:sz w:val="22"/>
          <w:szCs w:val="22"/>
          <w:lang w:val="en-US" w:eastAsia="zh-CN"/>
          <w14:textFill>
            <w14:solidFill>
              <w14:schemeClr w14:val="tx1"/>
            </w14:solidFill>
          </w14:textFill>
        </w:rPr>
        <w:t xml:space="preserve"> objects for 20 different classes.</w:t>
      </w:r>
    </w:p>
    <w:p>
      <w:pPr>
        <w:pStyle w:val="2"/>
      </w:pPr>
      <w:bookmarkStart w:id="7" w:name="_Toc281123567"/>
      <w:bookmarkStart w:id="8" w:name="_Toc407145094"/>
      <w:bookmarkStart w:id="9" w:name="_Toc281125808"/>
      <w:bookmarkStart w:id="10" w:name="_Toc281120922"/>
      <w:r>
        <w:t>Chapter 2</w:t>
      </w:r>
      <w:r>
        <w:br w:type="textWrapping"/>
      </w:r>
      <w:bookmarkEnd w:id="7"/>
      <w:bookmarkEnd w:id="8"/>
      <w:bookmarkEnd w:id="9"/>
      <w:bookmarkEnd w:id="10"/>
      <w:r>
        <w:t>Methods</w:t>
      </w:r>
    </w:p>
    <w:p>
      <w:pPr>
        <w:rPr>
          <w:sz w:val="22"/>
          <w:szCs w:val="22"/>
        </w:rPr>
      </w:pPr>
      <w:bookmarkStart w:id="11" w:name="_Toc281120924"/>
      <w:bookmarkStart w:id="12" w:name="_Toc407145095"/>
      <w:bookmarkStart w:id="13" w:name="_Toc281125810"/>
      <w:bookmarkStart w:id="14" w:name="_Toc281123569"/>
      <w:bookmarkStart w:id="15" w:name="_Toc281120923"/>
      <w:bookmarkStart w:id="16" w:name="_Toc281123568"/>
      <w:bookmarkStart w:id="17" w:name="_Toc281125809"/>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82"/>
      <w:bookmarkStart w:id="20" w:name="_Ref211246315"/>
      <w:bookmarkStart w:id="21" w:name="_Toc274043718"/>
      <w:bookmarkStart w:id="22" w:name="_Ref211244070"/>
      <w:bookmarkStart w:id="23" w:name="_Toc274124477"/>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54"/>
      <w:bookmarkStart w:id="27" w:name="_Ref211247577"/>
      <w:bookmarkStart w:id="28" w:name="_Toc274124197"/>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38C6FFE"/>
    <w:rsid w:val="03A965F3"/>
    <w:rsid w:val="05865D5D"/>
    <w:rsid w:val="07512633"/>
    <w:rsid w:val="07FA2A2F"/>
    <w:rsid w:val="0907653F"/>
    <w:rsid w:val="0BF105BE"/>
    <w:rsid w:val="0D2328AC"/>
    <w:rsid w:val="0DC814A4"/>
    <w:rsid w:val="102E6A16"/>
    <w:rsid w:val="12851EC3"/>
    <w:rsid w:val="12BF52E7"/>
    <w:rsid w:val="136C783D"/>
    <w:rsid w:val="14A45268"/>
    <w:rsid w:val="15632F90"/>
    <w:rsid w:val="15C94DE8"/>
    <w:rsid w:val="17D3547E"/>
    <w:rsid w:val="180E4708"/>
    <w:rsid w:val="18155A97"/>
    <w:rsid w:val="1A9B01A9"/>
    <w:rsid w:val="1AFF47DC"/>
    <w:rsid w:val="1C7D3C04"/>
    <w:rsid w:val="1CD423AD"/>
    <w:rsid w:val="1D091942"/>
    <w:rsid w:val="21D26E9E"/>
    <w:rsid w:val="22D13EAF"/>
    <w:rsid w:val="24EA2C77"/>
    <w:rsid w:val="26C543EB"/>
    <w:rsid w:val="28CD5D77"/>
    <w:rsid w:val="2BD94664"/>
    <w:rsid w:val="2ED51684"/>
    <w:rsid w:val="31EC5663"/>
    <w:rsid w:val="34562001"/>
    <w:rsid w:val="34A43FD3"/>
    <w:rsid w:val="36960BD4"/>
    <w:rsid w:val="389A0BB8"/>
    <w:rsid w:val="392B34F5"/>
    <w:rsid w:val="39F62946"/>
    <w:rsid w:val="3A2C6E2C"/>
    <w:rsid w:val="3CB11983"/>
    <w:rsid w:val="3E210442"/>
    <w:rsid w:val="41067DC3"/>
    <w:rsid w:val="410F3224"/>
    <w:rsid w:val="41936B67"/>
    <w:rsid w:val="435E076D"/>
    <w:rsid w:val="46430DB2"/>
    <w:rsid w:val="4AA246B9"/>
    <w:rsid w:val="4C7120BA"/>
    <w:rsid w:val="4D7E6669"/>
    <w:rsid w:val="50317489"/>
    <w:rsid w:val="510C31D4"/>
    <w:rsid w:val="52020133"/>
    <w:rsid w:val="52576539"/>
    <w:rsid w:val="551F6665"/>
    <w:rsid w:val="557830EE"/>
    <w:rsid w:val="55F22869"/>
    <w:rsid w:val="56446F6C"/>
    <w:rsid w:val="59543F1F"/>
    <w:rsid w:val="5C2614F0"/>
    <w:rsid w:val="5D347D3A"/>
    <w:rsid w:val="5EA04F5B"/>
    <w:rsid w:val="611834CF"/>
    <w:rsid w:val="62216AA8"/>
    <w:rsid w:val="65AD4D1F"/>
    <w:rsid w:val="6BD85D34"/>
    <w:rsid w:val="6E245261"/>
    <w:rsid w:val="6EAA0DB2"/>
    <w:rsid w:val="6FE16655"/>
    <w:rsid w:val="722577FA"/>
    <w:rsid w:val="74535579"/>
    <w:rsid w:val="751678CE"/>
    <w:rsid w:val="75864A53"/>
    <w:rsid w:val="772644C6"/>
    <w:rsid w:val="7A666C01"/>
    <w:rsid w:val="7B2E60AC"/>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8</TotalTime>
  <ScaleCrop>false</ScaleCrop>
  <LinksUpToDate>false</LinksUpToDate>
  <CharactersWithSpaces>7050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2022-02-18T14:48:49Z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D663D2A80FD94307BF93D63B8F00E648</vt:lpwstr>
  </property>
</Properties>
</file>