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nybody SemiBold" w:cs="Anybody SemiBold" w:eastAsia="Anybody SemiBold" w:hAnsi="Anybody SemiBold"/>
          <w:sz w:val="26"/>
          <w:szCs w:val="26"/>
        </w:rPr>
      </w:pPr>
      <w:bookmarkStart w:colFirst="0" w:colLast="0" w:name="_o8jhnh91n3b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nybody SemiBold" w:cs="Anybody SemiBold" w:eastAsia="Anybody SemiBold" w:hAnsi="Anybody SemiBol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ljeo87mpdyod" w:id="1"/>
      <w:bookmarkEnd w:id="1"/>
      <w:r w:rsidDel="00000000" w:rsidR="00000000" w:rsidRPr="00000000">
        <w:rPr>
          <w:rFonts w:ascii="Anybody SemiBold" w:cs="Anybody SemiBold" w:eastAsia="Anybody SemiBold" w:hAnsi="Anybody SemiBold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Propuesta de proyecto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nybody SemiBold" w:cs="Anybody SemiBold" w:eastAsia="Anybody SemiBold" w:hAnsi="Anybody SemiBold"/>
          <w:color w:val="00355b"/>
          <w:sz w:val="24"/>
          <w:szCs w:val="24"/>
        </w:rPr>
      </w:pPr>
      <w:bookmarkStart w:colFirst="0" w:colLast="0" w:name="_xruo0ov5ge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0" w:right="0" w:firstLine="0"/>
        <w:jc w:val="center"/>
        <w:rPr>
          <w:rFonts w:ascii="Anybody" w:cs="Anybody" w:eastAsia="Anybody" w:hAnsi="Anybody"/>
          <w:b w:val="1"/>
          <w:i w:val="0"/>
          <w:smallCaps w:val="0"/>
          <w:strike w:val="0"/>
          <w:color w:val="00355b"/>
          <w:sz w:val="38"/>
          <w:szCs w:val="38"/>
          <w:u w:val="none"/>
          <w:shd w:fill="auto" w:val="clear"/>
          <w:vertAlign w:val="baseline"/>
        </w:rPr>
      </w:pPr>
      <w:bookmarkStart w:colFirst="0" w:colLast="0" w:name="_66hby5fb8ah3" w:id="3"/>
      <w:bookmarkEnd w:id="3"/>
      <w:r w:rsidDel="00000000" w:rsidR="00000000" w:rsidRPr="00000000">
        <w:rPr>
          <w:rFonts w:ascii="Anybody" w:cs="Anybody" w:eastAsia="Anybody" w:hAnsi="Anybody"/>
          <w:b w:val="1"/>
          <w:color w:val="00355b"/>
          <w:sz w:val="38"/>
          <w:szCs w:val="38"/>
          <w:rtl w:val="0"/>
        </w:rPr>
        <w:t xml:space="preserve">Engagement Inteligente: Optimización de Contenidos en Redes Sociales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nter" w:cs="Inter" w:eastAsia="Inter" w:hAnsi="Int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rFonts w:ascii="Anybody SemiBold" w:cs="Anybody SemiBold" w:eastAsia="Anybody SemiBold" w:hAnsi="Anybody SemiBold"/>
          <w:color w:val="000000"/>
          <w:sz w:val="24"/>
          <w:szCs w:val="24"/>
          <w:u w:val="single"/>
        </w:rPr>
      </w:pPr>
      <w:bookmarkStart w:colFirst="0" w:colLast="0" w:name="_bm79x6i49wu2" w:id="4"/>
      <w:bookmarkEnd w:id="4"/>
      <w:r w:rsidDel="00000000" w:rsidR="00000000" w:rsidRPr="00000000">
        <w:rPr>
          <w:rFonts w:ascii="Anybody SemiBold" w:cs="Anybody SemiBold" w:eastAsia="Anybody SemiBold" w:hAnsi="Anybody SemiBold"/>
          <w:color w:val="000000"/>
          <w:sz w:val="24"/>
          <w:szCs w:val="24"/>
          <w:u w:val="single"/>
          <w:rtl w:val="0"/>
        </w:rPr>
        <w:t xml:space="preserve">Integrantes del equipo: 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240" w:lineRule="auto"/>
        <w:ind w:left="720" w:hanging="360"/>
        <w:rPr>
          <w:rFonts w:ascii="Inter" w:cs="Inter" w:eastAsia="Inter" w:hAnsi="Inter"/>
          <w:i w:val="1"/>
          <w:color w:val="434343"/>
        </w:rPr>
      </w:pPr>
      <w:r w:rsidDel="00000000" w:rsidR="00000000" w:rsidRPr="00000000">
        <w:rPr>
          <w:rFonts w:ascii="Inter" w:cs="Inter" w:eastAsia="Inter" w:hAnsi="Inter"/>
          <w:i w:val="1"/>
          <w:color w:val="434343"/>
          <w:rtl w:val="0"/>
        </w:rPr>
        <w:t xml:space="preserve">Barbara Sanchez – Data Analyst  BI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240" w:before="240" w:lineRule="auto"/>
        <w:ind w:left="720" w:hanging="360"/>
        <w:rPr>
          <w:rFonts w:ascii="Inter" w:cs="Inter" w:eastAsia="Inter" w:hAnsi="Inter"/>
          <w:i w:val="1"/>
          <w:color w:val="434343"/>
        </w:rPr>
      </w:pPr>
      <w:r w:rsidDel="00000000" w:rsidR="00000000" w:rsidRPr="00000000">
        <w:rPr>
          <w:rFonts w:ascii="Inter" w:cs="Inter" w:eastAsia="Inter" w:hAnsi="Inter"/>
          <w:i w:val="1"/>
          <w:color w:val="434343"/>
          <w:rtl w:val="0"/>
        </w:rPr>
        <w:t xml:space="preserve">Ducelvis Arcia – Data Analyst  BI</w:t>
      </w:r>
    </w:p>
    <w:p w:rsidR="00000000" w:rsidDel="00000000" w:rsidP="00000000" w:rsidRDefault="00000000" w:rsidRPr="00000000" w14:paraId="00000009">
      <w:pPr>
        <w:ind w:left="720" w:firstLine="0"/>
        <w:rPr>
          <w:rFonts w:ascii="Inter" w:cs="Inter" w:eastAsia="Inter" w:hAnsi="Inter"/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eaaa45" w:val="clear"/>
          <w:vertAlign w:val="baseline"/>
        </w:rPr>
      </w:pPr>
      <w:bookmarkStart w:colFirst="0" w:colLast="0" w:name="_slml2fn4tmqj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eaaa45" w:val="clear"/>
          <w:vertAlign w:val="baseline"/>
          <w:rtl w:val="0"/>
        </w:rPr>
        <w:t xml:space="preserve">Caso de negocio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870"/>
        <w:tblGridChange w:id="0">
          <w:tblGrid>
            <w:gridCol w:w="2490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Anybody" w:cs="Anybody" w:eastAsia="Anybody" w:hAnsi="Anybody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Industria y contexto del caso de negocio a desarrollar: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Proyecto de análisis en marketing digital para mejorar el rendimiento de publicaciones en redes sociales.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Anybody" w:cs="Anybody" w:eastAsia="Anybody" w:hAnsi="Anybody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3c4043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Anybody" w:cs="Anybody" w:eastAsia="Anybody" w:hAnsi="Anybody"/>
                <w:sz w:val="20"/>
                <w:szCs w:val="20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Descripción del Problema:</w:t>
            </w:r>
            <w:r w:rsidDel="00000000" w:rsidR="00000000" w:rsidRPr="00000000">
              <w:rPr>
                <w:rFonts w:ascii="Anybody" w:cs="Anybody" w:eastAsia="Anybody" w:hAnsi="Anybody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rFonts w:ascii="Inter" w:cs="Inter" w:eastAsia="Inter" w:hAnsi="Inter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Inter" w:cs="Inter" w:eastAsia="Inter" w:hAnsi="Inter"/>
                <w:color w:val="3c4043"/>
                <w:sz w:val="21"/>
                <w:szCs w:val="21"/>
                <w:highlight w:val="white"/>
                <w:rtl w:val="0"/>
              </w:rPr>
              <w:t xml:space="preserve">Falta de claridad sobre qué factores impulsan el engagement y variabilidad en los resultados de los posteos. El análisis se realizará con herramientas profesionales en la nube (Azure SQL + Power BI), para replicar un entorno corporativo real.</w:t>
            </w:r>
          </w:p>
        </w:tc>
      </w:tr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Anybody" w:cs="Anybody" w:eastAsia="Anybody" w:hAnsi="Anybody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Objetivo principal del proyecto: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Inter" w:cs="Inter" w:eastAsia="Inter" w:hAnsi="Inter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Inter" w:cs="Inter" w:eastAsia="Inter" w:hAnsi="Inter"/>
                <w:color w:val="3c4043"/>
                <w:sz w:val="21"/>
                <w:szCs w:val="21"/>
                <w:highlight w:val="white"/>
                <w:rtl w:val="0"/>
              </w:rPr>
              <w:t xml:space="preserve"> Identificar patrones de alto rendimiento y predecir resultados de futuras publicaciones.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Inter" w:cs="Inter" w:eastAsia="Inter" w:hAnsi="Inter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Anybody" w:cs="Anybody" w:eastAsia="Anybody" w:hAnsi="Anybody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Resultados esperados &amp; Impacto: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1440" w:hanging="360"/>
              <w:rPr>
                <w:rFonts w:ascii="Inter" w:cs="Inter" w:eastAsia="Inter" w:hAnsi="Inter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color w:val="434343"/>
                <w:rtl w:val="0"/>
              </w:rPr>
              <w:t xml:space="preserve">Mejoras en KPIs de engagement.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color w:val="434343"/>
                <w:rtl w:val="0"/>
              </w:rPr>
              <w:t xml:space="preserve">Dashboard para toma de decisiones.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1440" w:hanging="360"/>
              <w:rPr>
                <w:rFonts w:ascii="Inter" w:cs="Inter" w:eastAsia="Inter" w:hAnsi="Inter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color w:val="434343"/>
                <w:rtl w:val="0"/>
              </w:rPr>
              <w:t xml:space="preserve">Modelo predictivo de rendimiento.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76" w:lineRule="auto"/>
        <w:ind w:left="720" w:right="0" w:firstLine="0"/>
        <w:jc w:val="left"/>
        <w:rPr>
          <w:sz w:val="28"/>
          <w:szCs w:val="28"/>
          <w:shd w:fill="eaaa45" w:val="clear"/>
        </w:rPr>
      </w:pPr>
      <w:bookmarkStart w:colFirst="0" w:colLast="0" w:name="_i29eazqrzd7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eaaa45" w:val="clear"/>
          <w:vertAlign w:val="baseline"/>
        </w:rPr>
      </w:pPr>
      <w:bookmarkStart w:colFirst="0" w:colLast="0" w:name="_pmufjrl6379c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eaaa45" w:val="clear"/>
          <w:vertAlign w:val="baseline"/>
          <w:rtl w:val="0"/>
        </w:rPr>
        <w:t xml:space="preserve">Fuentes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6870"/>
        <w:tblGridChange w:id="0">
          <w:tblGrid>
            <w:gridCol w:w="2490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nybody" w:cs="Anybody" w:eastAsia="Anybody" w:hAnsi="Anybody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Fuentes de Datos: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Se trabajará con el dataset “Social Media Engagement Dataset", obtenido desde: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a692d4"/>
              </w:rPr>
            </w:pPr>
            <w:hyperlink r:id="rId6">
              <w:r w:rsidDel="00000000" w:rsidR="00000000" w:rsidRPr="00000000">
                <w:rPr>
                  <w:rFonts w:ascii="Inter" w:cs="Inter" w:eastAsia="Inter" w:hAnsi="Inter"/>
                  <w:i w:val="1"/>
                  <w:color w:val="a692d4"/>
                  <w:u w:val="single"/>
                  <w:rtl w:val="0"/>
                </w:rPr>
                <w:t xml:space="preserve">https://www.kaggle.com/datasets/subashmaster0411/social-media-engagement-dataset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eaaa45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Este dataset tiene información sobre: 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i w:val="1"/>
                <w:color w:val="eaaa45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fecha_posteo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hora_posteo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tipo_contenido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formato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likes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comentarios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shares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eaaa45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color w:val="eaaa45"/>
                <w:rtl w:val="0"/>
              </w:rPr>
              <w:t xml:space="preserve">impresiones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nybody" w:cs="Anybody" w:eastAsia="Anybody" w:hAnsi="Anybody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Descripción de los Datos: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nybody" w:cs="Anybody" w:eastAsia="Anybody" w:hAnsi="Anybody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Archivo CSV. “Engagement.csv”: 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Total de 28 Columnas 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Registros *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5.18 MB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440" w:firstLine="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El dataset se descargó y se trabajó en Python para limpieza inicial ETL y EDA.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Posteriormente, fue cargado a una base de datos en la nube (Azure SQL), donde se integró con una tabla calendario generada desde Python.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Finalmente, los datos fueron utilizados en Power BI para crear un Dashboard interactivo, con visualizaciones clave para toma de decisiones.</w:t>
            </w:r>
          </w:p>
        </w:tc>
      </w:tr>
    </w:tbl>
    <w:p w:rsidR="00000000" w:rsidDel="00000000" w:rsidP="00000000" w:rsidRDefault="00000000" w:rsidRPr="00000000" w14:paraId="000000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40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eaaa45" w:val="clear"/>
          <w:vertAlign w:val="baseline"/>
        </w:rPr>
      </w:pPr>
      <w:bookmarkStart w:colFirst="0" w:colLast="0" w:name="_vfq8difmxj1j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eaaa45" w:val="clear"/>
          <w:vertAlign w:val="baseline"/>
          <w:rtl w:val="0"/>
        </w:rPr>
        <w:t xml:space="preserve">Plan o estrategia de análisis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nybody" w:cs="Anybody" w:eastAsia="Anybody" w:hAnsi="Anybody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7230"/>
        <w:tblGridChange w:id="0">
          <w:tblGrid>
            <w:gridCol w:w="2475"/>
            <w:gridCol w:w="7230"/>
          </w:tblGrid>
        </w:tblGridChange>
      </w:tblGrid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nybody" w:cs="Anybody" w:eastAsia="Anybody" w:hAnsi="Anybody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Requerimientos del caso: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40" w:before="240"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Como analistas, se requiere identificar los factores que generan mayor engagement, con base en la estructura del dataset. Se aplicarán métricas de interacción y modelos de predicción para anticipar el rendimiento de futuras publicaciones. Esto permitirá sugerir estrategias óptimas de contenido.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Para ello es necesario abordar el siguiente plan de acción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Limpieza y estructura del dataset(EDA) 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6"/>
              </w:numPr>
              <w:spacing w:after="0" w:after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Análisis exploratorio de datos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Análisis de métricas clave( cálculo de engagement rate, interacciones por impresión, y rendimiento por categoría).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Los datos se cargaron en una base de datos en la nube (Azure SQL) y se trabajaron con consultas SQL en Azure Data Studio, replicando un entorno de trabajo real. También se integró una tabla calendario desde Python para facilitar análisis temporales.Consultas Avanzadas y Vistas necesario de la base de datos 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6"/>
              </w:numPr>
              <w:spacing w:after="0" w:after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Definición de KPIs y evaluación continua (establecimiento de métricas de éxito y monitoreo con nuevos datos para ajustar estrategias).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6"/>
              </w:numPr>
              <w:spacing w:after="240" w:before="0" w:before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Visualización de datos</w:t>
            </w:r>
          </w:p>
        </w:tc>
      </w:tr>
      <w:tr>
        <w:trPr>
          <w:cantSplit w:val="0"/>
          <w:tblHeader w:val="0"/>
        </w:trPr>
        <w:tc>
          <w:tcPr>
            <w:shd w:fill="7f94a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nybody" w:cs="Anybody" w:eastAsia="Anybody" w:hAnsi="Anybody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nybody" w:cs="Anybody" w:eastAsia="Anybody" w:hAnsi="Anybody"/>
                <w:b w:val="1"/>
                <w:sz w:val="20"/>
                <w:szCs w:val="20"/>
                <w:rtl w:val="0"/>
              </w:rPr>
              <w:t xml:space="preserve">Tareas y tecnologías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color w:val="434343"/>
                <w:rtl w:val="0"/>
              </w:rPr>
              <w:t xml:space="preserve"> </w:t>
            </w: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Planificación y Gestión del Proyecto: 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Definición de roadmap y tareas clave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Organización y seguimiento en Trello.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Uso de repositorio GitHub para control de versiones.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Evaluación de desvíos y ajuste de cronograma si es necesario.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Tratamiento del Dataset Python :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Limpieza de datos con pandas y validaciones con NumPy.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Revisión de integridad y coherencia del dataset.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Preparación estructurada para análisis exploratorio y modelado.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Exploración y Detección de Patrones con Python: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Visualización de métricas clave con matplotlib y seaborn.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Análisis por subgrupos: formatos, tipos de publicaciones, días y horarios.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Identificación de variables influyentes en el rendimiento.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rPr>
                <w:rFonts w:ascii="Inter" w:cs="Inter" w:eastAsia="Inter" w:hAnsi="Inter"/>
                <w:i w:val="1"/>
                <w:color w:val="434343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Creacion y coneccion del data set en Azure SQL :</w:t>
            </w:r>
          </w:p>
          <w:p w:rsidR="00000000" w:rsidDel="00000000" w:rsidP="00000000" w:rsidRDefault="00000000" w:rsidRPr="00000000" w14:paraId="00000047">
            <w:pPr>
              <w:widowControl w:val="0"/>
              <w:spacing w:after="240" w:before="240" w:line="240" w:lineRule="auto"/>
              <w:ind w:left="720" w:firstLine="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De ser necesario generar consultas y vistas claves que aporten al desarrollo del análisis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0" w:firstLine="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0" w:firstLine="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    5. Visualización Final: 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0" w:firstLine="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Fonts w:ascii="Inter" w:cs="Inter" w:eastAsia="Inter" w:hAnsi="Inter"/>
                <w:i w:val="1"/>
                <w:color w:val="434343"/>
                <w:rtl w:val="0"/>
              </w:rPr>
              <w:t xml:space="preserve">                  a. Diseño del dashboard en Power BI enfocado en insights accionables.</w:t>
              <w:br w:type="textWrapping"/>
              <w:t xml:space="preserve">                  b. Inclusión de filtros por categoría, tipo y rendimiento esperado.</w:t>
              <w:br w:type="textWrapping"/>
              <w:t xml:space="preserve">                 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0" w:firstLine="0"/>
              <w:rPr>
                <w:rFonts w:ascii="Inter" w:cs="Inter" w:eastAsia="Inter" w:hAnsi="Inter"/>
                <w:i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700" w:left="1440" w:right="1440" w:header="963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nybod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icksand">
    <w:embedRegular w:fontKey="{00000000-0000-0000-0000-000000000000}" r:id="rId9" w:subsetted="0"/>
    <w:embedBold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Anybody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color="000000" w:space="0" w:sz="0" w:val="none"/>
        <w:right w:space="0" w:sz="0" w:val="nil"/>
        <w:between w:space="0" w:sz="0" w:val="nil"/>
      </w:pBdr>
      <w:shd w:fill="auto" w:val="clear"/>
      <w:spacing w:after="200" w:before="0" w:line="276" w:lineRule="auto"/>
      <w:ind w:left="-566.9291338582677" w:right="-726.2598425196836" w:hanging="360"/>
      <w:jc w:val="center"/>
      <w:rPr>
        <w:rFonts w:ascii="Quicksand" w:cs="Quicksand" w:eastAsia="Quicksand" w:hAnsi="Quicksand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bookmarkStart w:colFirst="0" w:colLast="0" w:name="_n8h1lnu3ouc" w:id="9"/>
    <w:bookmarkEnd w:id="9"/>
    <w:r w:rsidDel="00000000" w:rsidR="00000000" w:rsidRPr="00000000">
      <w:rPr>
        <w:rFonts w:ascii="Quicksand" w:cs="Quicksand" w:eastAsia="Quicksand" w:hAnsi="Quicksand"/>
        <w:b w:val="1"/>
        <w:sz w:val="24"/>
        <w:szCs w:val="24"/>
      </w:rPr>
      <w:drawing>
        <wp:inline distB="114300" distT="114300" distL="114300" distR="114300">
          <wp:extent cx="7605713" cy="6381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966" r="0" t="0"/>
                  <a:stretch>
                    <a:fillRect/>
                  </a:stretch>
                </pic:blipFill>
                <pic:spPr>
                  <a:xfrm>
                    <a:off x="0" y="0"/>
                    <a:ext cx="7605713" cy="6381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kaggle.com/datasets/subashmaster0411/social-media-engagement-dataset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Quicksand-bold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Quicksand-regular.ttf"/><Relationship Id="rId15" Type="http://schemas.openxmlformats.org/officeDocument/2006/relationships/font" Target="fonts/Anybody-regular.ttf"/><Relationship Id="rId14" Type="http://schemas.openxmlformats.org/officeDocument/2006/relationships/font" Target="fonts/RobotoMono-boldItalic.ttf"/><Relationship Id="rId17" Type="http://schemas.openxmlformats.org/officeDocument/2006/relationships/font" Target="fonts/Anybody-italic.ttf"/><Relationship Id="rId16" Type="http://schemas.openxmlformats.org/officeDocument/2006/relationships/font" Target="fonts/Anybody-bold.ttf"/><Relationship Id="rId5" Type="http://schemas.openxmlformats.org/officeDocument/2006/relationships/font" Target="fonts/AnybodySemiBold-regular.ttf"/><Relationship Id="rId6" Type="http://schemas.openxmlformats.org/officeDocument/2006/relationships/font" Target="fonts/AnybodySemiBold-bold.ttf"/><Relationship Id="rId18" Type="http://schemas.openxmlformats.org/officeDocument/2006/relationships/font" Target="fonts/Anybody-boldItalic.ttf"/><Relationship Id="rId7" Type="http://schemas.openxmlformats.org/officeDocument/2006/relationships/font" Target="fonts/AnybodySemiBold-italic.ttf"/><Relationship Id="rId8" Type="http://schemas.openxmlformats.org/officeDocument/2006/relationships/font" Target="fonts/Anybody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