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BDO Pension Fund</w:t>
      </w:r>
    </w:p>
    <w:p>
      <w:r>
        <w:rPr>
          <w:i/>
          <w:color w:val="056970"/>
          <w:sz w:val="24"/>
        </w:rPr>
        <w:t>Benefit Specification 2021/2022</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BDO Pension Fund</w:t>
            </w:r>
          </w:p>
        </w:tc>
      </w:tr>
      <w:tr>
        <w:tc>
          <w:tcPr>
            <w:tcW w:type="dxa" w:w="4680"/>
          </w:tcPr>
          <w:p>
            <w:r>
              <w:rPr>
                <w:sz w:val="20"/>
              </w:rPr>
              <w:t>Sponsor Employer</w:t>
            </w:r>
          </w:p>
        </w:tc>
        <w:tc>
          <w:tcPr>
            <w:tcW w:type="dxa" w:w="4680"/>
          </w:tcPr>
          <w:p>
            <w:r>
              <w:rPr>
                <w:sz w:val="20"/>
              </w:rPr>
              <w:t>BDO LLP</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and future accrual</w:t>
            </w:r>
          </w:p>
        </w:tc>
      </w:tr>
      <w:tr>
        <w:tc>
          <w:tcPr>
            <w:tcW w:type="dxa" w:w="4680"/>
          </w:tcPr>
          <w:p>
            <w:r>
              <w:rPr>
                <w:sz w:val="20"/>
              </w:rPr>
              <w:t>Trustee</w:t>
            </w:r>
          </w:p>
        </w:tc>
        <w:tc>
          <w:tcPr>
            <w:tcW w:type="dxa" w:w="4680"/>
          </w:tcPr>
          <w:p>
            <w:r>
              <w:rPr>
                <w:sz w:val="20"/>
              </w:rPr>
              <w:t>BDO Pension Fund Trustee Limited</w:t>
            </w:r>
          </w:p>
        </w:tc>
      </w:tr>
      <w:tr>
        <w:tc>
          <w:tcPr>
            <w:tcW w:type="dxa" w:w="4680"/>
          </w:tcPr>
          <w:p>
            <w:r>
              <w:rPr>
                <w:sz w:val="20"/>
              </w:rPr>
              <w:t>Administrator</w:t>
            </w:r>
          </w:p>
        </w:tc>
        <w:tc>
          <w:tcPr>
            <w:tcW w:type="dxa" w:w="4680"/>
          </w:tcPr>
          <w:p>
            <w:r>
              <w:rPr>
                <w:sz w:val="20"/>
              </w:rPr>
              <w:t>XPS Pensions</w:t>
            </w:r>
          </w:p>
        </w:tc>
      </w:tr>
      <w:tr>
        <w:tc>
          <w:tcPr>
            <w:tcW w:type="dxa" w:w="4680"/>
          </w:tcPr>
          <w:p>
            <w:r>
              <w:rPr>
                <w:sz w:val="20"/>
              </w:rPr>
              <w:t>Document Year</w:t>
            </w:r>
          </w:p>
        </w:tc>
        <w:tc>
          <w:tcPr>
            <w:tcW w:type="dxa" w:w="4680"/>
          </w:tcPr>
          <w:p>
            <w:r>
              <w:rPr>
                <w:sz w:val="20"/>
              </w:rPr>
              <w:t>2021</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 (RPI min 3% for pre-1997 service)</w:t>
            </w:r>
          </w:p>
        </w:tc>
      </w:tr>
      <w:tr>
        <w:tc>
          <w:tcPr>
            <w:tcW w:type="dxa" w:w="4680"/>
          </w:tcPr>
          <w:p>
            <w:r>
              <w:rPr>
                <w:sz w:val="20"/>
              </w:rPr>
              <w:t>Revaluation in Deferment</w:t>
            </w:r>
          </w:p>
        </w:tc>
        <w:tc>
          <w:tcPr>
            <w:tcW w:type="dxa" w:w="4680"/>
          </w:tcPr>
          <w:p>
            <w:r>
              <w:rPr>
                <w:sz w:val="20"/>
              </w:rPr>
              <w:t>CPI capped at 2.5% p.a. in deferment</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Mercer Limited</w:t>
            </w:r>
          </w:p>
        </w:tc>
      </w:tr>
      <w:tr>
        <w:tc>
          <w:tcPr>
            <w:tcW w:type="dxa" w:w="4680"/>
          </w:tcPr>
          <w:p>
            <w:r>
              <w:rPr>
                <w:sz w:val="20"/>
              </w:rPr>
              <w:t>Investment Manager</w:t>
            </w:r>
          </w:p>
        </w:tc>
        <w:tc>
          <w:tcPr>
            <w:tcW w:type="dxa" w:w="4680"/>
          </w:tcPr>
          <w:p>
            <w:r>
              <w:rPr>
                <w:sz w:val="20"/>
              </w:rPr>
              <w:t>LGIM</w:t>
            </w:r>
          </w:p>
        </w:tc>
      </w:tr>
      <w:tr>
        <w:tc>
          <w:tcPr>
            <w:tcW w:type="dxa" w:w="4680"/>
          </w:tcPr>
          <w:p>
            <w:r>
              <w:rPr>
                <w:sz w:val="20"/>
              </w:rPr>
              <w:t>PPF Levy</w:t>
            </w:r>
          </w:p>
        </w:tc>
        <w:tc>
          <w:tcPr>
            <w:tcW w:type="dxa" w:w="4680"/>
          </w:tcPr>
          <w:p>
            <w:r>
              <w:rPr>
                <w:sz w:val="20"/>
              </w:rPr>
              <w:t>GBP 185,400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