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460350"/>
          <w:sz w:val="40"/>
        </w:rPr>
        <w:t>BDO Pension Fund</w:t>
      </w:r>
    </w:p>
    <w:p>
      <w:r>
        <w:rPr>
          <w:i/>
          <w:color w:val="056970"/>
          <w:sz w:val="24"/>
        </w:rPr>
        <w:t>Benefit Specification 2022/2023</w:t>
      </w:r>
    </w:p>
    <w:p/>
    <w:p>
      <w:r>
        <w:rPr>
          <w:b/>
          <w:color w:val="460350"/>
          <w:sz w:val="26"/>
        </w:rPr>
        <w:t>Scheme Information</w:t>
      </w:r>
    </w:p>
    <w:tbl>
      <w:tblPr>
        <w:tblW w:type="auto" w:w="0"/>
        <w:tblLayout w:type="fixed"/>
        <w:tblLook w:firstColumn="1" w:firstRow="1" w:lastColumn="0" w:lastRow="0" w:noHBand="0" w:noVBand="1" w:val="04A0"/>
      </w:tblPr>
      <w:tblGrid>
        <w:gridCol w:w="3456"/>
        <w:gridCol w:w="5760"/>
      </w:tblGrid>
      <w:tr>
        <w:tc>
          <w:tcPr>
            <w:tcW w:type="dxa" w:w="4680"/>
          </w:tcPr>
          <w:p>
            <w:r>
              <w:rPr>
                <w:sz w:val="20"/>
              </w:rPr>
              <w:t>Scheme Name</w:t>
            </w:r>
          </w:p>
        </w:tc>
        <w:tc>
          <w:tcPr>
            <w:tcW w:type="dxa" w:w="4680"/>
          </w:tcPr>
          <w:p>
            <w:r>
              <w:rPr>
                <w:sz w:val="20"/>
              </w:rPr>
              <w:t>BDO Pension Fund</w:t>
            </w:r>
          </w:p>
        </w:tc>
      </w:tr>
      <w:tr>
        <w:tc>
          <w:tcPr>
            <w:tcW w:type="dxa" w:w="4680"/>
          </w:tcPr>
          <w:p>
            <w:r>
              <w:rPr>
                <w:sz w:val="20"/>
              </w:rPr>
              <w:t>Sponsor Employer</w:t>
            </w:r>
          </w:p>
        </w:tc>
        <w:tc>
          <w:tcPr>
            <w:tcW w:type="dxa" w:w="4680"/>
          </w:tcPr>
          <w:p>
            <w:r>
              <w:rPr>
                <w:sz w:val="20"/>
              </w:rPr>
              <w:t>BDO LLP</w:t>
            </w:r>
          </w:p>
        </w:tc>
      </w:tr>
      <w:tr>
        <w:tc>
          <w:tcPr>
            <w:tcW w:type="dxa" w:w="4680"/>
          </w:tcPr>
          <w:p>
            <w:r>
              <w:rPr>
                <w:sz w:val="20"/>
              </w:rPr>
              <w:t>Scheme Type</w:t>
            </w:r>
          </w:p>
        </w:tc>
        <w:tc>
          <w:tcPr>
            <w:tcW w:type="dxa" w:w="4680"/>
          </w:tcPr>
          <w:p>
            <w:r>
              <w:rPr>
                <w:sz w:val="20"/>
              </w:rPr>
              <w:t>Defined Benefit - Final Salary (Closed)</w:t>
            </w:r>
          </w:p>
        </w:tc>
      </w:tr>
      <w:tr>
        <w:tc>
          <w:tcPr>
            <w:tcW w:type="dxa" w:w="4680"/>
          </w:tcPr>
          <w:p>
            <w:r>
              <w:rPr>
                <w:sz w:val="20"/>
              </w:rPr>
              <w:t>Scheme Status</w:t>
            </w:r>
          </w:p>
        </w:tc>
        <w:tc>
          <w:tcPr>
            <w:tcW w:type="dxa" w:w="4680"/>
          </w:tcPr>
          <w:p>
            <w:r>
              <w:rPr>
                <w:sz w:val="20"/>
              </w:rPr>
              <w:t>Closed to new entrants and future accrual</w:t>
            </w:r>
          </w:p>
        </w:tc>
      </w:tr>
      <w:tr>
        <w:tc>
          <w:tcPr>
            <w:tcW w:type="dxa" w:w="4680"/>
          </w:tcPr>
          <w:p>
            <w:r>
              <w:rPr>
                <w:sz w:val="20"/>
              </w:rPr>
              <w:t>Trustee</w:t>
            </w:r>
          </w:p>
        </w:tc>
        <w:tc>
          <w:tcPr>
            <w:tcW w:type="dxa" w:w="4680"/>
          </w:tcPr>
          <w:p>
            <w:r>
              <w:rPr>
                <w:sz w:val="20"/>
              </w:rPr>
              <w:t>BDO Pension Fund Trustee Limited</w:t>
            </w:r>
          </w:p>
        </w:tc>
      </w:tr>
      <w:tr>
        <w:tc>
          <w:tcPr>
            <w:tcW w:type="dxa" w:w="4680"/>
          </w:tcPr>
          <w:p>
            <w:r>
              <w:rPr>
                <w:sz w:val="20"/>
              </w:rPr>
              <w:t>Administrator</w:t>
            </w:r>
          </w:p>
        </w:tc>
        <w:tc>
          <w:tcPr>
            <w:tcW w:type="dxa" w:w="4680"/>
          </w:tcPr>
          <w:p>
            <w:r>
              <w:rPr>
                <w:sz w:val="20"/>
              </w:rPr>
              <w:t>XPS Pensions</w:t>
            </w:r>
          </w:p>
        </w:tc>
      </w:tr>
      <w:tr>
        <w:tc>
          <w:tcPr>
            <w:tcW w:type="dxa" w:w="4680"/>
          </w:tcPr>
          <w:p>
            <w:r>
              <w:rPr>
                <w:sz w:val="20"/>
              </w:rPr>
              <w:t>Document Year</w:t>
            </w:r>
          </w:p>
        </w:tc>
        <w:tc>
          <w:tcPr>
            <w:tcW w:type="dxa" w:w="4680"/>
          </w:tcPr>
          <w:p>
            <w:r>
              <w:rPr>
                <w:sz w:val="20"/>
              </w:rPr>
              <w:t>2022</w:t>
            </w:r>
          </w:p>
        </w:tc>
      </w:tr>
    </w:tbl>
    <w:p/>
    <w:p>
      <w:r>
        <w:rPr>
          <w:b/>
          <w:color w:val="460350"/>
          <w:sz w:val="26"/>
        </w:rPr>
        <w:t>Benefit Structure</w:t>
      </w:r>
    </w:p>
    <w:tbl>
      <w:tblPr>
        <w:tblW w:type="auto" w:w="0"/>
        <w:tblLayout w:type="fixed"/>
        <w:tblLook w:firstColumn="1" w:firstRow="1" w:lastColumn="0" w:lastRow="0" w:noHBand="0" w:noVBand="1" w:val="04A0"/>
      </w:tblPr>
      <w:tblGrid>
        <w:gridCol w:w="3456"/>
        <w:gridCol w:w="5760"/>
      </w:tblGrid>
      <w:tr>
        <w:tc>
          <w:tcPr>
            <w:tcW w:type="dxa" w:w="4680"/>
          </w:tcPr>
          <w:p>
            <w:r>
              <w:rPr>
                <w:sz w:val="20"/>
              </w:rPr>
              <w:t>Accrual Rate</w:t>
            </w:r>
          </w:p>
        </w:tc>
        <w:tc>
          <w:tcPr>
            <w:tcW w:type="dxa" w:w="4680"/>
          </w:tcPr>
          <w:p>
            <w:r>
              <w:rPr>
                <w:sz w:val="20"/>
              </w:rPr>
              <w:t>1/60th of Final Pensionable Salary per year of service</w:t>
            </w:r>
          </w:p>
        </w:tc>
      </w:tr>
      <w:tr>
        <w:tc>
          <w:tcPr>
            <w:tcW w:type="dxa" w:w="4680"/>
          </w:tcPr>
          <w:p>
            <w:r>
              <w:rPr>
                <w:sz w:val="20"/>
              </w:rPr>
              <w:t>Normal Retirement Age</w:t>
            </w:r>
          </w:p>
        </w:tc>
        <w:tc>
          <w:tcPr>
            <w:tcW w:type="dxa" w:w="4680"/>
          </w:tcPr>
          <w:p>
            <w:r>
              <w:rPr>
                <w:sz w:val="20"/>
              </w:rPr>
              <w:t>65</w:t>
            </w:r>
          </w:p>
        </w:tc>
      </w:tr>
      <w:tr>
        <w:tc>
          <w:tcPr>
            <w:tcW w:type="dxa" w:w="4680"/>
          </w:tcPr>
          <w:p>
            <w:r>
              <w:rPr>
                <w:sz w:val="20"/>
              </w:rPr>
              <w:t>Spouse's Pension</w:t>
            </w:r>
          </w:p>
        </w:tc>
        <w:tc>
          <w:tcPr>
            <w:tcW w:type="dxa" w:w="4680"/>
          </w:tcPr>
          <w:p>
            <w:r>
              <w:rPr>
                <w:sz w:val="20"/>
              </w:rPr>
              <w:t>50% of member's pension</w:t>
            </w:r>
          </w:p>
        </w:tc>
      </w:tr>
      <w:tr>
        <w:tc>
          <w:tcPr>
            <w:tcW w:type="dxa" w:w="4680"/>
          </w:tcPr>
          <w:p>
            <w:r>
              <w:rPr>
                <w:sz w:val="20"/>
              </w:rPr>
              <w:t>Pension Indexation in Payment</w:t>
            </w:r>
          </w:p>
        </w:tc>
        <w:tc>
          <w:tcPr>
            <w:tcW w:type="dxa" w:w="4680"/>
          </w:tcPr>
          <w:p>
            <w:r>
              <w:rPr>
                <w:sz w:val="20"/>
              </w:rPr>
              <w:t>CPI capped at 5% p.a. (RPI min 3% for pre-1997 service)</w:t>
            </w:r>
          </w:p>
        </w:tc>
      </w:tr>
      <w:tr>
        <w:tc>
          <w:tcPr>
            <w:tcW w:type="dxa" w:w="4680"/>
          </w:tcPr>
          <w:p>
            <w:r>
              <w:rPr>
                <w:sz w:val="20"/>
              </w:rPr>
              <w:t>Revaluation in Deferment</w:t>
            </w:r>
          </w:p>
        </w:tc>
        <w:tc>
          <w:tcPr>
            <w:tcW w:type="dxa" w:w="4680"/>
          </w:tcPr>
          <w:p>
            <w:r>
              <w:rPr>
                <w:sz w:val="20"/>
              </w:rPr>
              <w:t>CPI capped at 2.5% p.a. in deferment</w:t>
            </w:r>
          </w:p>
        </w:tc>
      </w:tr>
      <w:tr>
        <w:tc>
          <w:tcPr>
            <w:tcW w:type="dxa" w:w="4680"/>
          </w:tcPr>
          <w:p>
            <w:r>
              <w:rPr>
                <w:sz w:val="20"/>
              </w:rPr>
              <w:t>Early Retirement Factor</w:t>
            </w:r>
          </w:p>
        </w:tc>
        <w:tc>
          <w:tcPr>
            <w:tcW w:type="dxa" w:w="4680"/>
          </w:tcPr>
          <w:p>
            <w:r>
              <w:rPr>
                <w:sz w:val="20"/>
              </w:rPr>
              <w:t>Actuarial reduction of 4% per year before NRA</w:t>
            </w:r>
          </w:p>
        </w:tc>
      </w:tr>
      <w:tr>
        <w:tc>
          <w:tcPr>
            <w:tcW w:type="dxa" w:w="4680"/>
          </w:tcPr>
          <w:p>
            <w:r>
              <w:rPr>
                <w:sz w:val="20"/>
              </w:rPr>
              <w:t>Commutation Factor</w:t>
            </w:r>
          </w:p>
        </w:tc>
        <w:tc>
          <w:tcPr>
            <w:tcW w:type="dxa" w:w="4680"/>
          </w:tcPr>
          <w:p>
            <w:r>
              <w:rPr>
                <w:sz w:val="20"/>
              </w:rPr>
              <w:t>GBP 16 of pension commuted for GBP 256 tax-free cash</w:t>
            </w:r>
          </w:p>
        </w:tc>
      </w:tr>
    </w:tbl>
    <w:p/>
    <w:p>
      <w:r>
        <w:rPr>
          <w:b/>
          <w:color w:val="460350"/>
          <w:sz w:val="26"/>
        </w:rPr>
        <w:t>Death Benefits</w:t>
      </w:r>
    </w:p>
    <w:tbl>
      <w:tblPr>
        <w:tblW w:type="auto" w:w="0"/>
        <w:tblLayout w:type="fixed"/>
        <w:tblLook w:firstColumn="1" w:firstRow="1" w:lastColumn="0" w:lastRow="0" w:noHBand="0" w:noVBand="1" w:val="04A0"/>
      </w:tblPr>
      <w:tblGrid>
        <w:gridCol w:w="3456"/>
        <w:gridCol w:w="5760"/>
      </w:tblGrid>
      <w:tr>
        <w:tc>
          <w:tcPr>
            <w:tcW w:type="dxa" w:w="4680"/>
          </w:tcPr>
          <w:p>
            <w:r>
              <w:rPr>
                <w:sz w:val="20"/>
              </w:rPr>
              <w:t>Lump Sum on Death in Service</w:t>
            </w:r>
          </w:p>
        </w:tc>
        <w:tc>
          <w:tcPr>
            <w:tcW w:type="dxa" w:w="4680"/>
          </w:tcPr>
          <w:p>
            <w:r>
              <w:rPr>
                <w:sz w:val="20"/>
              </w:rPr>
              <w:t>4x Final Pensionable Salary</w:t>
            </w:r>
          </w:p>
        </w:tc>
      </w:tr>
      <w:tr>
        <w:tc>
          <w:tcPr>
            <w:tcW w:type="dxa" w:w="4680"/>
          </w:tcPr>
          <w:p>
            <w:r>
              <w:rPr>
                <w:sz w:val="20"/>
              </w:rPr>
              <w:t>Death Benefit - Deferred</w:t>
            </w:r>
          </w:p>
        </w:tc>
        <w:tc>
          <w:tcPr>
            <w:tcW w:type="dxa" w:w="4680"/>
          </w:tcPr>
          <w:p>
            <w:r>
              <w:rPr>
                <w:sz w:val="20"/>
              </w:rPr>
              <w:t>Return of contributions with interest</w:t>
            </w:r>
          </w:p>
        </w:tc>
      </w:tr>
      <w:tr>
        <w:tc>
          <w:tcPr>
            <w:tcW w:type="dxa" w:w="4680"/>
          </w:tcPr>
          <w:p>
            <w:r>
              <w:rPr>
                <w:sz w:val="20"/>
              </w:rPr>
              <w:t>Death Benefit - Pensioners</w:t>
            </w:r>
          </w:p>
        </w:tc>
        <w:tc>
          <w:tcPr>
            <w:tcW w:type="dxa" w:w="4680"/>
          </w:tcPr>
          <w:p>
            <w:r>
              <w:rPr>
                <w:sz w:val="20"/>
              </w:rPr>
              <w:t>Continuation of spouse's pension; 5-year guarantee</w:t>
            </w:r>
          </w:p>
        </w:tc>
      </w:tr>
    </w:tbl>
    <w:p/>
    <w:p>
      <w:r>
        <w:rPr>
          <w:b/>
          <w:color w:val="460350"/>
          <w:sz w:val="26"/>
        </w:rPr>
        <w:t>Governance</w:t>
      </w:r>
    </w:p>
    <w:tbl>
      <w:tblPr>
        <w:tblW w:type="auto" w:w="0"/>
        <w:tblLayout w:type="fixed"/>
        <w:tblLook w:firstColumn="1" w:firstRow="1" w:lastColumn="0" w:lastRow="0" w:noHBand="0" w:noVBand="1" w:val="04A0"/>
      </w:tblPr>
      <w:tblGrid>
        <w:gridCol w:w="3456"/>
        <w:gridCol w:w="5760"/>
      </w:tblGrid>
      <w:tr>
        <w:tc>
          <w:tcPr>
            <w:tcW w:type="dxa" w:w="4680"/>
          </w:tcPr>
          <w:p>
            <w:r>
              <w:rPr>
                <w:sz w:val="20"/>
              </w:rPr>
              <w:t>Scheme Actuary</w:t>
            </w:r>
          </w:p>
        </w:tc>
        <w:tc>
          <w:tcPr>
            <w:tcW w:type="dxa" w:w="4680"/>
          </w:tcPr>
          <w:p>
            <w:r>
              <w:rPr>
                <w:sz w:val="20"/>
              </w:rPr>
              <w:t>Mercer Limited</w:t>
            </w:r>
          </w:p>
        </w:tc>
      </w:tr>
      <w:tr>
        <w:tc>
          <w:tcPr>
            <w:tcW w:type="dxa" w:w="4680"/>
          </w:tcPr>
          <w:p>
            <w:r>
              <w:rPr>
                <w:sz w:val="20"/>
              </w:rPr>
              <w:t>Investment Manager</w:t>
            </w:r>
          </w:p>
        </w:tc>
        <w:tc>
          <w:tcPr>
            <w:tcW w:type="dxa" w:w="4680"/>
          </w:tcPr>
          <w:p>
            <w:r>
              <w:rPr>
                <w:sz w:val="20"/>
              </w:rPr>
              <w:t>LGIM</w:t>
            </w:r>
          </w:p>
        </w:tc>
      </w:tr>
      <w:tr>
        <w:tc>
          <w:tcPr>
            <w:tcW w:type="dxa" w:w="4680"/>
          </w:tcPr>
          <w:p>
            <w:r>
              <w:rPr>
                <w:sz w:val="20"/>
              </w:rPr>
              <w:t>PPF Levy</w:t>
            </w:r>
          </w:p>
        </w:tc>
        <w:tc>
          <w:tcPr>
            <w:tcW w:type="dxa" w:w="4680"/>
          </w:tcPr>
          <w:p>
            <w:r>
              <w:rPr>
                <w:sz w:val="20"/>
              </w:rPr>
              <w:t>GBP 185,400</w:t>
            </w:r>
          </w:p>
        </w:tc>
      </w:tr>
    </w:tbl>
    <w:p/>
    <w:p>
      <w:r>
        <w:rPr>
          <w:i/>
          <w:color w:val="64646E"/>
          <w:sz w:val="14"/>
        </w:rPr>
        <w:t>The Royal London Mutual Insurance Society Limited is authorised by the Prudential Regulation Authority and regulated by the Financial Conduct Authority and the Prudential Regulation Authority. Registration number 117672. Registered in England and Wales, company number 99064. Registered office: 80 Fenchurch Street, London, EC3M 4BY.</w:t>
      </w:r>
    </w:p>
    <w:sectPr w:rsidR="00FC693F" w:rsidRPr="0006063C" w:rsidSect="00034616">
      <w:head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05840" cy="663029"/>
          <wp:docPr id="1" name="Picture 1"/>
          <wp:cNvGraphicFramePr>
            <a:graphicFrameLocks noChangeAspect="1"/>
          </wp:cNvGraphicFramePr>
          <a:graphic>
            <a:graphicData uri="http://schemas.openxmlformats.org/drawingml/2006/picture">
              <pic:pic>
                <pic:nvPicPr>
                  <pic:cNvPr id="0" name="royal-london-logo.png"/>
                  <pic:cNvPicPr/>
                </pic:nvPicPr>
                <pic:blipFill>
                  <a:blip r:embed="rId1"/>
                  <a:stretch>
                    <a:fillRect/>
                  </a:stretch>
                </pic:blipFill>
                <pic:spPr>
                  <a:xfrm>
                    <a:off x="0" y="0"/>
                    <a:ext cx="1005840" cy="66302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