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BDO Pension Fund</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BDO Pension Fund</w:t>
            </w:r>
          </w:p>
        </w:tc>
      </w:tr>
      <w:tr>
        <w:tc>
          <w:tcPr>
            <w:tcW w:type="dxa" w:w="4680"/>
          </w:tcPr>
          <w:p>
            <w:r>
              <w:rPr>
                <w:sz w:val="20"/>
              </w:rPr>
              <w:t>Sponsor Employer</w:t>
            </w:r>
          </w:p>
        </w:tc>
        <w:tc>
          <w:tcPr>
            <w:tcW w:type="dxa" w:w="4680"/>
          </w:tcPr>
          <w:p>
            <w:r>
              <w:rPr>
                <w:sz w:val="20"/>
              </w:rPr>
              <w:t>BDO LLP</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BDO Pension Fund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 (RPI min 3% for pre-1997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185,400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