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University of Reading Pension Scheme</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University of Reading Pension Scheme</w:t>
            </w:r>
          </w:p>
        </w:tc>
      </w:tr>
      <w:tr>
        <w:tc>
          <w:tcPr>
            <w:tcW w:type="dxa" w:w="4680"/>
          </w:tcPr>
          <w:p>
            <w:r>
              <w:rPr>
                <w:sz w:val="20"/>
              </w:rPr>
              <w:t>Sponsor Employer</w:t>
            </w:r>
          </w:p>
        </w:tc>
        <w:tc>
          <w:tcPr>
            <w:tcW w:type="dxa" w:w="4680"/>
          </w:tcPr>
          <w:p>
            <w:r>
              <w:rPr>
                <w:sz w:val="20"/>
              </w:rPr>
              <w:t>University of Reading</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(2011) and future accrual (2016)</w:t>
            </w:r>
          </w:p>
        </w:tc>
      </w:tr>
      <w:tr>
        <w:tc>
          <w:tcPr>
            <w:tcW w:type="dxa" w:w="4680"/>
          </w:tcPr>
          <w:p>
            <w:r>
              <w:rPr>
                <w:sz w:val="20"/>
              </w:rPr>
              <w:t>Trustee</w:t>
            </w:r>
          </w:p>
        </w:tc>
        <w:tc>
          <w:tcPr>
            <w:tcW w:type="dxa" w:w="4680"/>
          </w:tcPr>
          <w:p>
            <w:r>
              <w:rPr>
                <w:sz w:val="20"/>
              </w:rPr>
              <w:t>University of Reading Pension Trustee Limited</w:t>
            </w:r>
          </w:p>
        </w:tc>
      </w:tr>
      <w:tr>
        <w:tc>
          <w:tcPr>
            <w:tcW w:type="dxa" w:w="4680"/>
          </w:tcPr>
          <w:p>
            <w:r>
              <w:rPr>
                <w:sz w:val="20"/>
              </w:rPr>
              <w:t>Administrator</w:t>
            </w:r>
          </w:p>
        </w:tc>
        <w:tc>
          <w:tcPr>
            <w:tcW w:type="dxa" w:w="4680"/>
          </w:tcPr>
          <w:p>
            <w:r>
              <w:rPr>
                <w:sz w:val="20"/>
              </w:rPr>
              <w:t>Barnett Waddingham</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Hymans Robertson</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68,200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