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University of Reading Pension Scheme</w:t>
      </w:r>
    </w:p>
    <w:p>
      <w:r>
        <w:rPr>
          <w:i/>
          <w:color w:val="056970"/>
          <w:sz w:val="24"/>
        </w:rPr>
        <w:t>Benefit Specification 2022/2023</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University of Reading Pension Scheme</w:t>
            </w:r>
          </w:p>
        </w:tc>
      </w:tr>
      <w:tr>
        <w:tc>
          <w:tcPr>
            <w:tcW w:type="dxa" w:w="4680"/>
          </w:tcPr>
          <w:p>
            <w:r>
              <w:rPr>
                <w:sz w:val="20"/>
              </w:rPr>
              <w:t>Sponsor Employer</w:t>
            </w:r>
          </w:p>
        </w:tc>
        <w:tc>
          <w:tcPr>
            <w:tcW w:type="dxa" w:w="4680"/>
          </w:tcPr>
          <w:p>
            <w:r>
              <w:rPr>
                <w:sz w:val="20"/>
              </w:rPr>
              <w:t>University of Reading</w:t>
            </w:r>
          </w:p>
        </w:tc>
      </w:tr>
      <w:tr>
        <w:tc>
          <w:tcPr>
            <w:tcW w:type="dxa" w:w="4680"/>
          </w:tcPr>
          <w:p>
            <w:r>
              <w:rPr>
                <w:sz w:val="20"/>
              </w:rPr>
              <w:t>Scheme Type</w:t>
            </w:r>
          </w:p>
        </w:tc>
        <w:tc>
          <w:tcPr>
            <w:tcW w:type="dxa" w:w="4680"/>
          </w:tcPr>
          <w:p>
            <w:r>
              <w:rPr>
                <w:sz w:val="20"/>
              </w:rPr>
              <w:t>Defined Benefit - Final Salary (Closed)</w:t>
            </w:r>
          </w:p>
        </w:tc>
      </w:tr>
      <w:tr>
        <w:tc>
          <w:tcPr>
            <w:tcW w:type="dxa" w:w="4680"/>
          </w:tcPr>
          <w:p>
            <w:r>
              <w:rPr>
                <w:sz w:val="20"/>
              </w:rPr>
              <w:t>Scheme Status</w:t>
            </w:r>
          </w:p>
        </w:tc>
        <w:tc>
          <w:tcPr>
            <w:tcW w:type="dxa" w:w="4680"/>
          </w:tcPr>
          <w:p>
            <w:r>
              <w:rPr>
                <w:sz w:val="20"/>
              </w:rPr>
              <w:t>Closed to new entrants (2011) and future accrual (2016)</w:t>
            </w:r>
          </w:p>
        </w:tc>
      </w:tr>
      <w:tr>
        <w:tc>
          <w:tcPr>
            <w:tcW w:type="dxa" w:w="4680"/>
          </w:tcPr>
          <w:p>
            <w:r>
              <w:rPr>
                <w:sz w:val="20"/>
              </w:rPr>
              <w:t>Trustee</w:t>
            </w:r>
          </w:p>
        </w:tc>
        <w:tc>
          <w:tcPr>
            <w:tcW w:type="dxa" w:w="4680"/>
          </w:tcPr>
          <w:p>
            <w:r>
              <w:rPr>
                <w:sz w:val="20"/>
              </w:rPr>
              <w:t>University of Reading Pension Trustee Limited</w:t>
            </w:r>
          </w:p>
        </w:tc>
      </w:tr>
      <w:tr>
        <w:tc>
          <w:tcPr>
            <w:tcW w:type="dxa" w:w="4680"/>
          </w:tcPr>
          <w:p>
            <w:r>
              <w:rPr>
                <w:sz w:val="20"/>
              </w:rPr>
              <w:t>Administrator</w:t>
            </w:r>
          </w:p>
        </w:tc>
        <w:tc>
          <w:tcPr>
            <w:tcW w:type="dxa" w:w="4680"/>
          </w:tcPr>
          <w:p>
            <w:r>
              <w:rPr>
                <w:sz w:val="20"/>
              </w:rPr>
              <w:t>Barnett Waddingham</w:t>
            </w:r>
          </w:p>
        </w:tc>
      </w:tr>
      <w:tr>
        <w:tc>
          <w:tcPr>
            <w:tcW w:type="dxa" w:w="4680"/>
          </w:tcPr>
          <w:p>
            <w:r>
              <w:rPr>
                <w:sz w:val="20"/>
              </w:rPr>
              <w:t>Document Year</w:t>
            </w:r>
          </w:p>
        </w:tc>
        <w:tc>
          <w:tcPr>
            <w:tcW w:type="dxa" w:w="4680"/>
          </w:tcPr>
          <w:p>
            <w:r>
              <w:rPr>
                <w:sz w:val="20"/>
              </w:rPr>
              <w:t>2022</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1/80th of Final Pensionable Salary per year of service</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5% p.a.</w:t>
            </w:r>
          </w:p>
        </w:tc>
      </w:tr>
      <w:tr>
        <w:tc>
          <w:tcPr>
            <w:tcW w:type="dxa" w:w="4680"/>
          </w:tcPr>
          <w:p>
            <w:r>
              <w:rPr>
                <w:sz w:val="20"/>
              </w:rPr>
              <w:t>Revaluation in Deferment</w:t>
            </w:r>
          </w:p>
        </w:tc>
        <w:tc>
          <w:tcPr>
            <w:tcW w:type="dxa" w:w="4680"/>
          </w:tcPr>
          <w:p>
            <w:r>
              <w:rPr>
                <w:sz w:val="20"/>
              </w:rPr>
              <w:t>Statutory (CPI capped at 2.5% p.a.)</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Hymans Robertson</w:t>
            </w:r>
          </w:p>
        </w:tc>
      </w:tr>
      <w:tr>
        <w:tc>
          <w:tcPr>
            <w:tcW w:type="dxa" w:w="4680"/>
          </w:tcPr>
          <w:p>
            <w:r>
              <w:rPr>
                <w:sz w:val="20"/>
              </w:rPr>
              <w:t>Investment Manager</w:t>
            </w:r>
          </w:p>
        </w:tc>
        <w:tc>
          <w:tcPr>
            <w:tcW w:type="dxa" w:w="4680"/>
          </w:tcPr>
          <w:p>
            <w:r>
              <w:rPr>
                <w:sz w:val="20"/>
              </w:rPr>
              <w:t>Schroders</w:t>
            </w:r>
          </w:p>
        </w:tc>
      </w:tr>
      <w:tr>
        <w:tc>
          <w:tcPr>
            <w:tcW w:type="dxa" w:w="4680"/>
          </w:tcPr>
          <w:p>
            <w:r>
              <w:rPr>
                <w:sz w:val="20"/>
              </w:rPr>
              <w:t>PPF Levy</w:t>
            </w:r>
          </w:p>
        </w:tc>
        <w:tc>
          <w:tcPr>
            <w:tcW w:type="dxa" w:w="4680"/>
          </w:tcPr>
          <w:p>
            <w:r>
              <w:rPr>
                <w:sz w:val="20"/>
              </w:rPr>
              <w:t>GBP 68,200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