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University of Reading Pension Scheme</w:t>
      </w:r>
    </w:p>
    <w:p>
      <w:r>
        <w:rPr>
          <w:i/>
          <w:color w:val="056970"/>
          <w:sz w:val="24"/>
        </w:rPr>
        <w:t>Benefit Specification 2023/2024</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University of Reading Pension Scheme</w:t>
            </w:r>
          </w:p>
        </w:tc>
      </w:tr>
      <w:tr>
        <w:tc>
          <w:tcPr>
            <w:tcW w:type="dxa" w:w="4680"/>
          </w:tcPr>
          <w:p>
            <w:r>
              <w:rPr>
                <w:sz w:val="20"/>
              </w:rPr>
              <w:t>Sponsor Employer</w:t>
            </w:r>
          </w:p>
        </w:tc>
        <w:tc>
          <w:tcPr>
            <w:tcW w:type="dxa" w:w="4680"/>
          </w:tcPr>
          <w:p>
            <w:r>
              <w:rPr>
                <w:sz w:val="20"/>
              </w:rPr>
              <w:t>University of Reading</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(2011) and future accrual (2016)</w:t>
            </w:r>
          </w:p>
        </w:tc>
      </w:tr>
      <w:tr>
        <w:tc>
          <w:tcPr>
            <w:tcW w:type="dxa" w:w="4680"/>
          </w:tcPr>
          <w:p>
            <w:r>
              <w:rPr>
                <w:sz w:val="20"/>
              </w:rPr>
              <w:t>Trustee</w:t>
            </w:r>
          </w:p>
        </w:tc>
        <w:tc>
          <w:tcPr>
            <w:tcW w:type="dxa" w:w="4680"/>
          </w:tcPr>
          <w:p>
            <w:r>
              <w:rPr>
                <w:sz w:val="20"/>
              </w:rPr>
              <w:t>University of Reading Pension Trustee Limited</w:t>
            </w:r>
          </w:p>
        </w:tc>
      </w:tr>
      <w:tr>
        <w:tc>
          <w:tcPr>
            <w:tcW w:type="dxa" w:w="4680"/>
          </w:tcPr>
          <w:p>
            <w:r>
              <w:rPr>
                <w:sz w:val="20"/>
              </w:rPr>
              <w:t>Administrator</w:t>
            </w:r>
          </w:p>
        </w:tc>
        <w:tc>
          <w:tcPr>
            <w:tcW w:type="dxa" w:w="4680"/>
          </w:tcPr>
          <w:p>
            <w:r>
              <w:rPr>
                <w:sz w:val="20"/>
              </w:rPr>
              <w:t>Barnett Waddingham</w:t>
            </w:r>
          </w:p>
        </w:tc>
      </w:tr>
      <w:tr>
        <w:tc>
          <w:tcPr>
            <w:tcW w:type="dxa" w:w="4680"/>
          </w:tcPr>
          <w:p>
            <w:r>
              <w:rPr>
                <w:sz w:val="20"/>
              </w:rPr>
              <w:t>Document Year</w:t>
            </w:r>
          </w:p>
        </w:tc>
        <w:tc>
          <w:tcPr>
            <w:tcW w:type="dxa" w:w="4680"/>
          </w:tcPr>
          <w:p>
            <w:r>
              <w:rPr>
                <w:sz w:val="20"/>
              </w:rPr>
              <w:t>2023</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1/80th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Statutory (CPI capped at 2.5% p.a.)</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Hymans Robertson</w:t>
            </w:r>
          </w:p>
        </w:tc>
      </w:tr>
      <w:tr>
        <w:tc>
          <w:tcPr>
            <w:tcW w:type="dxa" w:w="4680"/>
          </w:tcPr>
          <w:p>
            <w:r>
              <w:rPr>
                <w:sz w:val="20"/>
              </w:rPr>
              <w:t>Investment Manager</w:t>
            </w:r>
          </w:p>
        </w:tc>
        <w:tc>
          <w:tcPr>
            <w:tcW w:type="dxa" w:w="4680"/>
          </w:tcPr>
          <w:p>
            <w:r>
              <w:rPr>
                <w:sz w:val="20"/>
              </w:rPr>
              <w:t>Schroders</w:t>
            </w:r>
          </w:p>
        </w:tc>
      </w:tr>
      <w:tr>
        <w:tc>
          <w:tcPr>
            <w:tcW w:type="dxa" w:w="4680"/>
          </w:tcPr>
          <w:p>
            <w:r>
              <w:rPr>
                <w:sz w:val="20"/>
              </w:rPr>
              <w:t>PPF Levy</w:t>
            </w:r>
          </w:p>
        </w:tc>
        <w:tc>
          <w:tcPr>
            <w:tcW w:type="dxa" w:w="4680"/>
          </w:tcPr>
          <w:p>
            <w:r>
              <w:rPr>
                <w:sz w:val="20"/>
              </w:rPr>
              <w:t>GBP 68,200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