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Renishaw plc Pension Scheme</w:t>
      </w:r>
    </w:p>
    <w:p>
      <w:r>
        <w:rPr>
          <w:i/>
          <w:color w:val="056970"/>
          <w:sz w:val="24"/>
        </w:rPr>
        <w:t>Benefit Specification 2021/2022</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Renishaw plc Pension Scheme</w:t>
            </w:r>
          </w:p>
        </w:tc>
      </w:tr>
      <w:tr>
        <w:tc>
          <w:tcPr>
            <w:tcW w:type="dxa" w:w="4680"/>
          </w:tcPr>
          <w:p>
            <w:r>
              <w:rPr>
                <w:sz w:val="20"/>
              </w:rPr>
              <w:t>Sponsor Employer</w:t>
            </w:r>
          </w:p>
        </w:tc>
        <w:tc>
          <w:tcPr>
            <w:tcW w:type="dxa" w:w="4680"/>
          </w:tcPr>
          <w:p>
            <w:r>
              <w:rPr>
                <w:sz w:val="20"/>
              </w:rPr>
              <w:t>Renishaw plc</w:t>
            </w:r>
          </w:p>
        </w:tc>
      </w:tr>
      <w:tr>
        <w:tc>
          <w:tcPr>
            <w:tcW w:type="dxa" w:w="4680"/>
          </w:tcPr>
          <w:p>
            <w:r>
              <w:rPr>
                <w:sz w:val="20"/>
              </w:rPr>
              <w:t>Scheme Type</w:t>
            </w:r>
          </w:p>
        </w:tc>
        <w:tc>
          <w:tcPr>
            <w:tcW w:type="dxa" w:w="4680"/>
          </w:tcPr>
          <w:p>
            <w:r>
              <w:rPr>
                <w:sz w:val="20"/>
              </w:rPr>
              <w:t>Defined Benefit - Career Average (CARE)</w:t>
            </w:r>
          </w:p>
        </w:tc>
      </w:tr>
      <w:tr>
        <w:tc>
          <w:tcPr>
            <w:tcW w:type="dxa" w:w="4680"/>
          </w:tcPr>
          <w:p>
            <w:r>
              <w:rPr>
                <w:sz w:val="20"/>
              </w:rPr>
              <w:t>Scheme Status</w:t>
            </w:r>
          </w:p>
        </w:tc>
        <w:tc>
          <w:tcPr>
            <w:tcW w:type="dxa" w:w="4680"/>
          </w:tcPr>
          <w:p>
            <w:r>
              <w:rPr>
                <w:sz w:val="20"/>
              </w:rPr>
              <w:t>Closed to new entrants; open to future accrual for existing members</w:t>
            </w:r>
          </w:p>
        </w:tc>
      </w:tr>
      <w:tr>
        <w:tc>
          <w:tcPr>
            <w:tcW w:type="dxa" w:w="4680"/>
          </w:tcPr>
          <w:p>
            <w:r>
              <w:rPr>
                <w:sz w:val="20"/>
              </w:rPr>
              <w:t>Trustee</w:t>
            </w:r>
          </w:p>
        </w:tc>
        <w:tc>
          <w:tcPr>
            <w:tcW w:type="dxa" w:w="4680"/>
          </w:tcPr>
          <w:p>
            <w:r>
              <w:rPr>
                <w:sz w:val="20"/>
              </w:rPr>
              <w:t>Renishaw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2021</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Pensionable Earnings per year of service (revalued CPI)</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2.5% p.a. (2.5% flat for pre-2006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Willis Towers Watson</w:t>
            </w:r>
          </w:p>
        </w:tc>
      </w:tr>
      <w:tr>
        <w:tc>
          <w:tcPr>
            <w:tcW w:type="dxa" w:w="4680"/>
          </w:tcPr>
          <w:p>
            <w:r>
              <w:rPr>
                <w:sz w:val="20"/>
              </w:rPr>
              <w:t>Investment Manager</w:t>
            </w:r>
          </w:p>
        </w:tc>
        <w:tc>
          <w:tcPr>
            <w:tcW w:type="dxa" w:w="4680"/>
          </w:tcPr>
          <w:p>
            <w:r>
              <w:rPr>
                <w:sz w:val="20"/>
              </w:rPr>
              <w:t>BlackRock</w:t>
            </w:r>
          </w:p>
        </w:tc>
      </w:tr>
      <w:tr>
        <w:tc>
          <w:tcPr>
            <w:tcW w:type="dxa" w:w="4680"/>
          </w:tcPr>
          <w:p>
            <w:r>
              <w:rPr>
                <w:sz w:val="20"/>
              </w:rPr>
              <w:t>PPF Levy</w:t>
            </w:r>
          </w:p>
        </w:tc>
        <w:tc>
          <w:tcPr>
            <w:tcW w:type="dxa" w:w="4680"/>
          </w:tcPr>
          <w:p>
            <w:r>
              <w:rPr>
                <w:sz w:val="20"/>
              </w:rPr>
              <w:t>GBP 124,700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