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Renishaw plc Pension Scheme</w:t>
      </w:r>
    </w:p>
    <w:p>
      <w:r>
        <w:rPr>
          <w:i/>
          <w:color w:val="056970"/>
          <w:sz w:val="24"/>
        </w:rPr>
        <w:t>Benefit Specification 2025/2026</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Renishaw plc Pension Scheme</w:t>
            </w:r>
          </w:p>
        </w:tc>
      </w:tr>
      <w:tr>
        <w:tc>
          <w:tcPr>
            <w:tcW w:type="dxa" w:w="4680"/>
          </w:tcPr>
          <w:p>
            <w:r>
              <w:rPr>
                <w:sz w:val="20"/>
              </w:rPr>
              <w:t>Sponsor Employer</w:t>
            </w:r>
          </w:p>
        </w:tc>
        <w:tc>
          <w:tcPr>
            <w:tcW w:type="dxa" w:w="4680"/>
          </w:tcPr>
          <w:p>
            <w:r>
              <w:rPr>
                <w:sz w:val="20"/>
              </w:rPr>
              <w:t>Renishaw plc</w:t>
            </w:r>
          </w:p>
        </w:tc>
      </w:tr>
      <w:tr>
        <w:tc>
          <w:tcPr>
            <w:tcW w:type="dxa" w:w="4680"/>
          </w:tcPr>
          <w:p>
            <w:r>
              <w:rPr>
                <w:sz w:val="20"/>
              </w:rPr>
              <w:t>Scheme Type</w:t>
            </w:r>
          </w:p>
        </w:tc>
        <w:tc>
          <w:tcPr>
            <w:tcW w:type="dxa" w:w="4680"/>
          </w:tcPr>
          <w:p>
            <w:r>
              <w:rPr>
                <w:sz w:val="20"/>
              </w:rPr>
              <w:t>Defined Benefit - Career Average (CARE)</w:t>
            </w:r>
          </w:p>
        </w:tc>
      </w:tr>
      <w:tr>
        <w:tc>
          <w:tcPr>
            <w:tcW w:type="dxa" w:w="4680"/>
          </w:tcPr>
          <w:p>
            <w:r>
              <w:rPr>
                <w:sz w:val="20"/>
              </w:rPr>
              <w:t>Scheme Status</w:t>
            </w:r>
          </w:p>
        </w:tc>
        <w:tc>
          <w:tcPr>
            <w:tcW w:type="dxa" w:w="4680"/>
          </w:tcPr>
          <w:p>
            <w:r>
              <w:rPr>
                <w:sz w:val="20"/>
              </w:rPr>
              <w:t>Closed to new entrants; open to future accrual for existing members</w:t>
            </w:r>
          </w:p>
        </w:tc>
      </w:tr>
      <w:tr>
        <w:tc>
          <w:tcPr>
            <w:tcW w:type="dxa" w:w="4680"/>
          </w:tcPr>
          <w:p>
            <w:r>
              <w:rPr>
                <w:sz w:val="20"/>
              </w:rPr>
              <w:t>Trustee</w:t>
            </w:r>
          </w:p>
        </w:tc>
        <w:tc>
          <w:tcPr>
            <w:tcW w:type="dxa" w:w="4680"/>
          </w:tcPr>
          <w:p>
            <w:r>
              <w:rPr>
                <w:sz w:val="20"/>
              </w:rPr>
              <w:t>Renishaw Pension Trustees Limited</w:t>
            </w:r>
          </w:p>
        </w:tc>
      </w:tr>
      <w:tr>
        <w:tc>
          <w:tcPr>
            <w:tcW w:type="dxa" w:w="4680"/>
          </w:tcPr>
          <w:p>
            <w:r>
              <w:rPr>
                <w:sz w:val="20"/>
              </w:rPr>
              <w:t>Administrator</w:t>
            </w:r>
          </w:p>
        </w:tc>
        <w:tc>
          <w:tcPr>
            <w:tcW w:type="dxa" w:w="4680"/>
          </w:tcPr>
          <w:p>
            <w:r>
              <w:rPr>
                <w:sz w:val="20"/>
              </w:rPr>
              <w:t>Aptia</w:t>
            </w:r>
          </w:p>
        </w:tc>
      </w:tr>
      <w:tr>
        <w:tc>
          <w:tcPr>
            <w:tcW w:type="dxa" w:w="4680"/>
          </w:tcPr>
          <w:p>
            <w:r>
              <w:rPr>
                <w:sz w:val="20"/>
              </w:rPr>
              <w:t>Document Year</w:t>
            </w:r>
          </w:p>
        </w:tc>
        <w:tc>
          <w:tcPr>
            <w:tcW w:type="dxa" w:w="4680"/>
          </w:tcPr>
          <w:p>
            <w:r>
              <w:rPr>
                <w:sz w:val="20"/>
              </w:rPr>
              <w:t>2025</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1/80th of Pensionable Earnings per year of service (revalued CPI)</w:t>
            </w:r>
          </w:p>
        </w:tc>
      </w:tr>
      <w:tr>
        <w:tc>
          <w:tcPr>
            <w:tcW w:type="dxa" w:w="4680"/>
          </w:tcPr>
          <w:p>
            <w:r>
              <w:rPr>
                <w:sz w:val="20"/>
              </w:rPr>
              <w:t>Normal Retirement Age</w:t>
            </w:r>
          </w:p>
        </w:tc>
        <w:tc>
          <w:tcPr>
            <w:tcW w:type="dxa" w:w="4680"/>
          </w:tcPr>
          <w:p>
            <w:r>
              <w:rPr>
                <w:sz w:val="20"/>
              </w:rPr>
              <w:t>65</w:t>
            </w:r>
          </w:p>
        </w:tc>
      </w:tr>
      <w:tr>
        <w:tc>
          <w:tcPr>
            <w:tcW w:type="dxa" w:w="4680"/>
          </w:tcPr>
          <w:p>
            <w:r>
              <w:rPr>
                <w:sz w:val="20"/>
              </w:rPr>
              <w:t>Spouse's Pension</w:t>
            </w:r>
          </w:p>
        </w:tc>
        <w:tc>
          <w:tcPr>
            <w:tcW w:type="dxa" w:w="4680"/>
          </w:tcPr>
          <w:p>
            <w:r>
              <w:rPr>
                <w:sz w:val="20"/>
              </w:rPr>
              <w:t>50% of member's pension</w:t>
            </w:r>
          </w:p>
        </w:tc>
      </w:tr>
      <w:tr>
        <w:tc>
          <w:tcPr>
            <w:tcW w:type="dxa" w:w="4680"/>
          </w:tcPr>
          <w:p>
            <w:r>
              <w:rPr>
                <w:sz w:val="20"/>
              </w:rPr>
              <w:t>Pension Indexation in Payment</w:t>
            </w:r>
          </w:p>
        </w:tc>
        <w:tc>
          <w:tcPr>
            <w:tcW w:type="dxa" w:w="4680"/>
          </w:tcPr>
          <w:p>
            <w:r>
              <w:rPr>
                <w:sz w:val="20"/>
              </w:rPr>
              <w:t>CPI capped at 2.5% p.a. (2.5% flat for pre-2006 service)</w:t>
            </w:r>
          </w:p>
        </w:tc>
      </w:tr>
      <w:tr>
        <w:tc>
          <w:tcPr>
            <w:tcW w:type="dxa" w:w="4680"/>
          </w:tcPr>
          <w:p>
            <w:r>
              <w:rPr>
                <w:sz w:val="20"/>
              </w:rPr>
              <w:t>Revaluation in Deferment</w:t>
            </w:r>
          </w:p>
        </w:tc>
        <w:tc>
          <w:tcPr>
            <w:tcW w:type="dxa" w:w="4680"/>
          </w:tcPr>
          <w:p>
            <w:r>
              <w:rPr>
                <w:sz w:val="20"/>
              </w:rPr>
              <w:t>CPI capped at 2.5% p.a. in deferment</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Willis Towers Watson</w:t>
            </w:r>
          </w:p>
        </w:tc>
      </w:tr>
      <w:tr>
        <w:tc>
          <w:tcPr>
            <w:tcW w:type="dxa" w:w="4680"/>
          </w:tcPr>
          <w:p>
            <w:r>
              <w:rPr>
                <w:sz w:val="20"/>
              </w:rPr>
              <w:t>Investment Manager</w:t>
            </w:r>
          </w:p>
        </w:tc>
        <w:tc>
          <w:tcPr>
            <w:tcW w:type="dxa" w:w="4680"/>
          </w:tcPr>
          <w:p>
            <w:r>
              <w:rPr>
                <w:sz w:val="20"/>
              </w:rPr>
              <w:t>BlackRock</w:t>
            </w:r>
          </w:p>
        </w:tc>
      </w:tr>
      <w:tr>
        <w:tc>
          <w:tcPr>
            <w:tcW w:type="dxa" w:w="4680"/>
          </w:tcPr>
          <w:p>
            <w:r>
              <w:rPr>
                <w:sz w:val="20"/>
              </w:rPr>
              <w:t>PPF Levy</w:t>
            </w:r>
          </w:p>
        </w:tc>
        <w:tc>
          <w:tcPr>
            <w:tcW w:type="dxa" w:w="4680"/>
          </w:tcPr>
          <w:p>
            <w:r>
              <w:rPr>
                <w:sz w:val="20"/>
              </w:rPr>
              <w:t>GBP 124,700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