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6F36A4"/>
        </w:rPr>
        <w:t>Royal London Dental &amp; Optical Benefit Plan</w:t>
      </w:r>
    </w:p>
    <w:p>
      <w:r>
        <w:t>Group Cash Plan Specification 2025/26</w:t>
        <w:br/>
        <w:t>Policy Reference: RL-DOP-2025-7712</w:t>
      </w:r>
    </w:p>
    <w:p>
      <w:pPr>
        <w:pStyle w:val="Heading1"/>
      </w:pPr>
      <w:r>
        <w:t>1. Scheme Overview</w:t>
      </w:r>
    </w:p>
    <w:p>
      <w:r>
        <w:t>This Group Cash Plan is underwritten by Royal London under policy number RL-DOP-2025-7712, effective 01 April 2025 to 31 March 2026. All UK permanent employees are eligible from date of joining.</w:t>
      </w:r>
    </w:p>
    <w:p>
      <w:pPr>
        <w:pStyle w:val="Heading1"/>
      </w:pPr>
      <w:r>
        <w:t>2. Dental Benefits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Benefit</w:t>
            </w:r>
          </w:p>
        </w:tc>
        <w:tc>
          <w:tcPr>
            <w:tcW w:type="dxa" w:w="4320"/>
          </w:tcPr>
          <w:p>
            <w:r>
              <w:t>Coverage</w:t>
            </w:r>
          </w:p>
        </w:tc>
      </w:tr>
      <w:tr>
        <w:tc>
          <w:tcPr>
            <w:tcW w:type="dxa" w:w="4320"/>
          </w:tcPr>
          <w:p>
            <w:r>
              <w:t>NHS Dental Check-up</w:t>
            </w:r>
          </w:p>
        </w:tc>
        <w:tc>
          <w:tcPr>
            <w:tcW w:type="dxa" w:w="4320"/>
          </w:tcPr>
          <w:p>
            <w:r>
              <w:t>100% reimbursement up to £65 per visit (2 visits per year)</w:t>
            </w:r>
          </w:p>
        </w:tc>
      </w:tr>
      <w:tr>
        <w:tc>
          <w:tcPr>
            <w:tcW w:type="dxa" w:w="4320"/>
          </w:tcPr>
          <w:p>
            <w:r>
              <w:t>NHS Dental Treatment</w:t>
            </w:r>
          </w:p>
        </w:tc>
        <w:tc>
          <w:tcPr>
            <w:tcW w:type="dxa" w:w="4320"/>
          </w:tcPr>
          <w:p>
            <w:r>
              <w:t>Reimbursement up to £250 per year (Band 1-3)</w:t>
            </w:r>
          </w:p>
        </w:tc>
      </w:tr>
      <w:tr>
        <w:tc>
          <w:tcPr>
            <w:tcW w:type="dxa" w:w="4320"/>
          </w:tcPr>
          <w:p>
            <w:r>
              <w:t>Private Dental Treatment</w:t>
            </w:r>
          </w:p>
        </w:tc>
        <w:tc>
          <w:tcPr>
            <w:tcW w:type="dxa" w:w="4320"/>
          </w:tcPr>
          <w:p>
            <w:r>
              <w:t>50% reimbursement up to £500 per year</w:t>
            </w:r>
          </w:p>
        </w:tc>
      </w:tr>
      <w:tr>
        <w:tc>
          <w:tcPr>
            <w:tcW w:type="dxa" w:w="4320"/>
          </w:tcPr>
          <w:p>
            <w:r>
              <w:t>Dental Accident</w:t>
            </w:r>
          </w:p>
        </w:tc>
        <w:tc>
          <w:tcPr>
            <w:tcW w:type="dxa" w:w="4320"/>
          </w:tcPr>
          <w:p>
            <w:r>
              <w:t>Up to £1,500 for emergency treatment following accidental injury</w:t>
            </w:r>
          </w:p>
        </w:tc>
      </w:tr>
      <w:tr>
        <w:tc>
          <w:tcPr>
            <w:tcW w:type="dxa" w:w="4320"/>
          </w:tcPr>
          <w:p>
            <w:r>
              <w:t>Orthodontics (Dependants)</w:t>
            </w:r>
          </w:p>
        </w:tc>
        <w:tc>
          <w:tcPr>
            <w:tcW w:type="dxa" w:w="4320"/>
          </w:tcPr>
          <w:p>
            <w:r>
              <w:t>50% reimbursement up to £750 for children under 18</w:t>
            </w:r>
          </w:p>
        </w:tc>
      </w:tr>
    </w:tbl>
    <w:p/>
    <w:p>
      <w:pPr>
        <w:pStyle w:val="Heading1"/>
      </w:pPr>
      <w:r>
        <w:t>3. Optical Benefits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Benefit</w:t>
            </w:r>
          </w:p>
        </w:tc>
        <w:tc>
          <w:tcPr>
            <w:tcW w:type="dxa" w:w="4320"/>
          </w:tcPr>
          <w:p>
            <w:r>
              <w:t>Coverage</w:t>
            </w:r>
          </w:p>
        </w:tc>
      </w:tr>
      <w:tr>
        <w:tc>
          <w:tcPr>
            <w:tcW w:type="dxa" w:w="4320"/>
          </w:tcPr>
          <w:p>
            <w:r>
              <w:t>Eye Test</w:t>
            </w:r>
          </w:p>
        </w:tc>
        <w:tc>
          <w:tcPr>
            <w:tcW w:type="dxa" w:w="4320"/>
          </w:tcPr>
          <w:p>
            <w:r>
              <w:t>100% reimbursement up to £40 per test (1 per year)</w:t>
            </w:r>
          </w:p>
        </w:tc>
      </w:tr>
      <w:tr>
        <w:tc>
          <w:tcPr>
            <w:tcW w:type="dxa" w:w="4320"/>
          </w:tcPr>
          <w:p>
            <w:r>
              <w:t>Prescription Glasses</w:t>
            </w:r>
          </w:p>
        </w:tc>
        <w:tc>
          <w:tcPr>
            <w:tcW w:type="dxa" w:w="4320"/>
          </w:tcPr>
          <w:p>
            <w:r>
              <w:t>Up to £200 per pair (1 claim per 2 years)</w:t>
            </w:r>
          </w:p>
        </w:tc>
      </w:tr>
      <w:tr>
        <w:tc>
          <w:tcPr>
            <w:tcW w:type="dxa" w:w="4320"/>
          </w:tcPr>
          <w:p>
            <w:r>
              <w:t>Contact Lenses</w:t>
            </w:r>
          </w:p>
        </w:tc>
        <w:tc>
          <w:tcPr>
            <w:tcW w:type="dxa" w:w="4320"/>
          </w:tcPr>
          <w:p>
            <w:r>
              <w:t>Up to £200 per year</w:t>
            </w:r>
          </w:p>
        </w:tc>
      </w:tr>
      <w:tr>
        <w:tc>
          <w:tcPr>
            <w:tcW w:type="dxa" w:w="4320"/>
          </w:tcPr>
          <w:p>
            <w:r>
              <w:t>Laser Eye Surgery</w:t>
            </w:r>
          </w:p>
        </w:tc>
        <w:tc>
          <w:tcPr>
            <w:tcW w:type="dxa" w:w="4320"/>
          </w:tcPr>
          <w:p>
            <w:r>
              <w:t>£250 one-off contribution (lifetime limit)</w:t>
            </w:r>
          </w:p>
        </w:tc>
      </w:tr>
    </w:tbl>
    <w:p/>
    <w:p>
      <w:pPr>
        <w:pStyle w:val="Heading1"/>
      </w:pPr>
      <w:r>
        <w:t>4. Premium Rates</w:t>
      </w:r>
    </w:p>
    <w:p>
      <w:pPr>
        <w:pStyle w:val="ListBullet"/>
      </w:pPr>
      <w:r>
        <w:t>Employee Only: £12.50 per month</w:t>
      </w:r>
    </w:p>
    <w:p>
      <w:pPr>
        <w:pStyle w:val="ListBullet"/>
      </w:pPr>
      <w:r>
        <w:t>Employee + Partner: £22.00 per month</w:t>
      </w:r>
    </w:p>
    <w:p>
      <w:pPr>
        <w:pStyle w:val="ListBullet"/>
      </w:pPr>
      <w:r>
        <w:t>Employee + Children: £18.50 per month</w:t>
      </w:r>
    </w:p>
    <w:p>
      <w:pPr>
        <w:pStyle w:val="ListBullet"/>
      </w:pPr>
      <w:r>
        <w:t>Family: £28.00 per month</w:t>
      </w:r>
    </w:p>
    <w:p>
      <w:r>
        <w:t>Premium Basis: Monthly via payroll deduction; employee funded with employer subsidy of 50%.</w:t>
      </w:r>
    </w:p>
    <w:p>
      <w:pPr>
        <w:pStyle w:val="Heading1"/>
      </w:pPr>
      <w:r>
        <w:t>5. General Conditions</w:t>
      </w:r>
    </w:p>
    <w:p>
      <w:pPr>
        <w:pStyle w:val="ListBullet"/>
      </w:pPr>
      <w:r>
        <w:t>Waiting Period: None for dental; 3 months for optical.</w:t>
      </w:r>
    </w:p>
    <w:p>
      <w:pPr>
        <w:pStyle w:val="ListBullet"/>
      </w:pPr>
      <w:r>
        <w:t>Claims submitted via Royal London online portal or mobile app within 90 days.</w:t>
      </w:r>
    </w:p>
    <w:p>
      <w:pPr>
        <w:pStyle w:val="ListBullet"/>
      </w:pPr>
      <w:r>
        <w:t>Maximum Annual Benefit: £2,500 aggregate across all dental and optical claims.</w:t>
      </w:r>
    </w:p>
    <w:p>
      <w:pPr>
        <w:pStyle w:val="ListBullet"/>
      </w:pPr>
      <w:r>
        <w:t>Excluded: Cosmetic dentistry not clinically necessary; sunglasses; designer frames above £200 allowance.</w:t>
      </w:r>
    </w:p>
    <w:p/>
    <w:p>
      <w:r>
        <w:rPr>
          <w:i/>
          <w:color w:val="64646E"/>
          <w:sz w:val="14"/>
        </w:rPr>
        <w:t>The Royal London Mutual Insurance Society Limited is authorised by the Prudential Regulation Authority and regulated by the Financial Conduct Authority and the Prudential Regulation Authority. Registration number 117672. Registered in England and Wales, company number 99064. Registered office: 80 Fenchurch Street, London, EC3M 4BY.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6F36A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6F36A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F36A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