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6F36A4"/>
        </w:rPr>
        <w:t>Royal London Group Critical Illness Cover</w:t>
      </w:r>
    </w:p>
    <w:p>
      <w:r>
        <w:t>Benefit Specification &amp; Conditions 2025/26</w:t>
        <w:br/>
        <w:t>Policy Reference: RL-GCI-2025-5567</w:t>
      </w:r>
    </w:p>
    <w:p>
      <w:pPr>
        <w:pStyle w:val="Heading1"/>
      </w:pPr>
      <w:r>
        <w:t>1. Scheme Details</w:t>
      </w:r>
    </w:p>
    <w:p>
      <w:r>
        <w:t>This Group Critical Illness (GCI) scheme is underwritten by Royal London (The Royal London Mutual Insurance Society Limited) under policy number RL-GCI-2025-5567, effective from 01 April 2025 to 31 March 2026.</w:t>
      </w:r>
    </w:p>
    <w:p>
      <w:r>
        <w:t>All UK permanent employees with a minimum of 3 months continuous service are eligible for cover under this scheme. The FCA registration number is 117672.</w:t>
      </w:r>
    </w:p>
    <w:p>
      <w:pPr>
        <w:pStyle w:val="Heading1"/>
      </w:pPr>
      <w:r>
        <w:t>2. Benefit Structure</w:t>
      </w:r>
    </w:p>
    <w:p>
      <w:r>
        <w:t>The benefit is calculated as 3x Annual Basic Salary, subject to a maximum benefit cap of £500,000. Payment is made as a tax-free lump sum upon diagnosis of a covered condition, provided the member survives 14 days from the date of diagnosis.</w:t>
      </w:r>
    </w:p>
    <w:p>
      <w:pPr>
        <w:pStyle w:val="Heading2"/>
      </w:pPr>
      <w:r>
        <w:t>2.1 Covered Conditions</w:t>
      </w:r>
    </w:p>
    <w:p>
      <w:r>
        <w:t>The scheme covers 58 specified critical illnesses plus 19 additional children's conditions. Key covered conditions include: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Condition</w:t>
            </w:r>
          </w:p>
        </w:tc>
        <w:tc>
          <w:tcPr>
            <w:tcW w:type="dxa" w:w="4320"/>
          </w:tcPr>
          <w:p>
            <w:r>
              <w:t>Definition</w:t>
            </w:r>
          </w:p>
        </w:tc>
      </w:tr>
      <w:tr>
        <w:tc>
          <w:tcPr>
            <w:tcW w:type="dxa" w:w="4320"/>
          </w:tcPr>
          <w:p>
            <w:r>
              <w:t>Cancer</w:t>
            </w:r>
          </w:p>
        </w:tc>
        <w:tc>
          <w:tcPr>
            <w:tcW w:type="dxa" w:w="4320"/>
          </w:tcPr>
          <w:p>
            <w:r>
              <w:t>All invasive malignant cancers (excluding non-melanoma skin cancer and CIS)</w:t>
            </w:r>
          </w:p>
        </w:tc>
      </w:tr>
      <w:tr>
        <w:tc>
          <w:tcPr>
            <w:tcW w:type="dxa" w:w="4320"/>
          </w:tcPr>
          <w:p>
            <w:r>
              <w:t>Heart Attack</w:t>
            </w:r>
          </w:p>
        </w:tc>
        <w:tc>
          <w:tcPr>
            <w:tcW w:type="dxa" w:w="4320"/>
          </w:tcPr>
          <w:p>
            <w:r>
              <w:t>Of specified severity per ABI+ model wording</w:t>
            </w:r>
          </w:p>
        </w:tc>
      </w:tr>
      <w:tr>
        <w:tc>
          <w:tcPr>
            <w:tcW w:type="dxa" w:w="4320"/>
          </w:tcPr>
          <w:p>
            <w:r>
              <w:t>Stroke</w:t>
            </w:r>
          </w:p>
        </w:tc>
        <w:tc>
          <w:tcPr>
            <w:tcW w:type="dxa" w:w="4320"/>
          </w:tcPr>
          <w:p>
            <w:r>
              <w:t>Resulting in permanent neurological deficit lasting 24+ hours</w:t>
            </w:r>
          </w:p>
        </w:tc>
      </w:tr>
      <w:tr>
        <w:tc>
          <w:tcPr>
            <w:tcW w:type="dxa" w:w="4320"/>
          </w:tcPr>
          <w:p>
            <w:r>
              <w:t>Multiple Sclerosis</w:t>
            </w:r>
          </w:p>
        </w:tc>
        <w:tc>
          <w:tcPr>
            <w:tcW w:type="dxa" w:w="4320"/>
          </w:tcPr>
          <w:p>
            <w:r>
              <w:t>Definitive diagnosis by consultant neurologist</w:t>
            </w:r>
          </w:p>
        </w:tc>
      </w:tr>
      <w:tr>
        <w:tc>
          <w:tcPr>
            <w:tcW w:type="dxa" w:w="4320"/>
          </w:tcPr>
          <w:p>
            <w:r>
              <w:t>Organ Transplant</w:t>
            </w:r>
          </w:p>
        </w:tc>
        <w:tc>
          <w:tcPr>
            <w:tcW w:type="dxa" w:w="4320"/>
          </w:tcPr>
          <w:p>
            <w:r>
              <w:t>Heart, lung, liver, kidney, or pancreas</w:t>
            </w:r>
          </w:p>
        </w:tc>
      </w:tr>
      <w:tr>
        <w:tc>
          <w:tcPr>
            <w:tcW w:type="dxa" w:w="4320"/>
          </w:tcPr>
          <w:p>
            <w:r>
              <w:t>Dementia / Alzheimer's</w:t>
            </w:r>
          </w:p>
        </w:tc>
        <w:tc>
          <w:tcPr>
            <w:tcW w:type="dxa" w:w="4320"/>
          </w:tcPr>
          <w:p>
            <w:r>
              <w:t>Permanent diagnosis before age 65</w:t>
            </w:r>
          </w:p>
        </w:tc>
      </w:tr>
      <w:tr>
        <w:tc>
          <w:tcPr>
            <w:tcW w:type="dxa" w:w="4320"/>
          </w:tcPr>
          <w:p>
            <w:r>
              <w:t>Parkinson's Disease</w:t>
            </w:r>
          </w:p>
        </w:tc>
        <w:tc>
          <w:tcPr>
            <w:tcW w:type="dxa" w:w="4320"/>
          </w:tcPr>
          <w:p>
            <w:r>
              <w:t>Definitive diagnosis with permanent symptoms</w:t>
            </w:r>
          </w:p>
        </w:tc>
      </w:tr>
      <w:tr>
        <w:tc>
          <w:tcPr>
            <w:tcW w:type="dxa" w:w="4320"/>
          </w:tcPr>
          <w:p>
            <w:r>
              <w:t>Major Organ Failure</w:t>
            </w:r>
          </w:p>
        </w:tc>
        <w:tc>
          <w:tcPr>
            <w:tcW w:type="dxa" w:w="4320"/>
          </w:tcPr>
          <w:p>
            <w:r>
              <w:t>Permanent failure requiring ongoing treatment</w:t>
            </w:r>
          </w:p>
        </w:tc>
      </w:tr>
    </w:tbl>
    <w:p/>
    <w:p>
      <w:pPr>
        <w:pStyle w:val="Heading2"/>
      </w:pPr>
      <w:r>
        <w:t>2.2 Partial Payment Conditions</w:t>
      </w:r>
    </w:p>
    <w:p>
      <w:r>
        <w:t>8 conditions are eligible for a 25% advance payment, including less advanced cancers (e.g., early-stage prostate cancer with Gleason score &lt;7), coronary artery bypass graft, and carcinoma in situ of the breast.</w:t>
      </w:r>
    </w:p>
    <w:p>
      <w:pPr>
        <w:pStyle w:val="Heading1"/>
      </w:pPr>
      <w:r>
        <w:t>3. Premium Rates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Age Band</w:t>
            </w:r>
          </w:p>
        </w:tc>
        <w:tc>
          <w:tcPr>
            <w:tcW w:type="dxa" w:w="2160"/>
          </w:tcPr>
          <w:p>
            <w:r>
              <w:t>Rate (% Payroll)</w:t>
            </w:r>
          </w:p>
        </w:tc>
        <w:tc>
          <w:tcPr>
            <w:tcW w:type="dxa" w:w="2160"/>
          </w:tcPr>
          <w:p>
            <w:r>
              <w:t>Monthly (£50k)</w:t>
            </w:r>
          </w:p>
        </w:tc>
        <w:tc>
          <w:tcPr>
            <w:tcW w:type="dxa" w:w="2160"/>
          </w:tcPr>
          <w:p>
            <w:r>
              <w:t>Annual (£50k)</w:t>
            </w:r>
          </w:p>
        </w:tc>
      </w:tr>
      <w:tr>
        <w:tc>
          <w:tcPr>
            <w:tcW w:type="dxa" w:w="2160"/>
          </w:tcPr>
          <w:p>
            <w:r>
              <w:t>Under 30</w:t>
            </w:r>
          </w:p>
        </w:tc>
        <w:tc>
          <w:tcPr>
            <w:tcW w:type="dxa" w:w="2160"/>
          </w:tcPr>
          <w:p>
            <w:r>
              <w:t>0.22%</w:t>
            </w:r>
          </w:p>
        </w:tc>
        <w:tc>
          <w:tcPr>
            <w:tcW w:type="dxa" w:w="2160"/>
          </w:tcPr>
          <w:p>
            <w:r>
              <w:t>£9.17</w:t>
            </w:r>
          </w:p>
        </w:tc>
        <w:tc>
          <w:tcPr>
            <w:tcW w:type="dxa" w:w="2160"/>
          </w:tcPr>
          <w:p>
            <w:r>
              <w:t>£110.00</w:t>
            </w:r>
          </w:p>
        </w:tc>
      </w:tr>
      <w:tr>
        <w:tc>
          <w:tcPr>
            <w:tcW w:type="dxa" w:w="2160"/>
          </w:tcPr>
          <w:p>
            <w:r>
              <w:t>30-39</w:t>
            </w:r>
          </w:p>
        </w:tc>
        <w:tc>
          <w:tcPr>
            <w:tcW w:type="dxa" w:w="2160"/>
          </w:tcPr>
          <w:p>
            <w:r>
              <w:t>0.48%</w:t>
            </w:r>
          </w:p>
        </w:tc>
        <w:tc>
          <w:tcPr>
            <w:tcW w:type="dxa" w:w="2160"/>
          </w:tcPr>
          <w:p>
            <w:r>
              <w:t>£20.00</w:t>
            </w:r>
          </w:p>
        </w:tc>
        <w:tc>
          <w:tcPr>
            <w:tcW w:type="dxa" w:w="2160"/>
          </w:tcPr>
          <w:p>
            <w:r>
              <w:t>£240.00</w:t>
            </w:r>
          </w:p>
        </w:tc>
      </w:tr>
      <w:tr>
        <w:tc>
          <w:tcPr>
            <w:tcW w:type="dxa" w:w="2160"/>
          </w:tcPr>
          <w:p>
            <w:r>
              <w:t>40-49</w:t>
            </w:r>
          </w:p>
        </w:tc>
        <w:tc>
          <w:tcPr>
            <w:tcW w:type="dxa" w:w="2160"/>
          </w:tcPr>
          <w:p>
            <w:r>
              <w:t>1.10%</w:t>
            </w:r>
          </w:p>
        </w:tc>
        <w:tc>
          <w:tcPr>
            <w:tcW w:type="dxa" w:w="2160"/>
          </w:tcPr>
          <w:p>
            <w:r>
              <w:t>£45.83</w:t>
            </w:r>
          </w:p>
        </w:tc>
        <w:tc>
          <w:tcPr>
            <w:tcW w:type="dxa" w:w="2160"/>
          </w:tcPr>
          <w:p>
            <w:r>
              <w:t>£550.00</w:t>
            </w:r>
          </w:p>
        </w:tc>
      </w:tr>
      <w:tr>
        <w:tc>
          <w:tcPr>
            <w:tcW w:type="dxa" w:w="2160"/>
          </w:tcPr>
          <w:p>
            <w:r>
              <w:t>50-59</w:t>
            </w:r>
          </w:p>
        </w:tc>
        <w:tc>
          <w:tcPr>
            <w:tcW w:type="dxa" w:w="2160"/>
          </w:tcPr>
          <w:p>
            <w:r>
              <w:t>2.65%</w:t>
            </w:r>
          </w:p>
        </w:tc>
        <w:tc>
          <w:tcPr>
            <w:tcW w:type="dxa" w:w="2160"/>
          </w:tcPr>
          <w:p>
            <w:r>
              <w:t>£110.42</w:t>
            </w:r>
          </w:p>
        </w:tc>
        <w:tc>
          <w:tcPr>
            <w:tcW w:type="dxa" w:w="2160"/>
          </w:tcPr>
          <w:p>
            <w:r>
              <w:t>£1,325.00</w:t>
            </w:r>
          </w:p>
        </w:tc>
      </w:tr>
    </w:tbl>
    <w:p>
      <w:r>
        <w:br/>
        <w:t>Premium Basis: Monthly in arrears, employer funded 100%.</w:t>
      </w:r>
    </w:p>
    <w:p>
      <w:pPr>
        <w:pStyle w:val="Heading1"/>
      </w:pPr>
      <w:r>
        <w:t>4. Free Cover Limit</w:t>
      </w:r>
    </w:p>
    <w:p>
      <w:r>
        <w:t>The Free Cover Limit (FCL) for this scheme is £350,000. Members with a benefit amount exceeding the FCL will be required to complete a Royal London personal health declaration. Medical History Disregarded underwriting applies for benefits below the FCL.</w:t>
      </w:r>
    </w:p>
    <w:p>
      <w:pPr>
        <w:pStyle w:val="Heading1"/>
      </w:pPr>
      <w:r>
        <w:t>5. Exclusions &amp; Conditions</w:t>
      </w:r>
    </w:p>
    <w:p>
      <w:pPr>
        <w:pStyle w:val="ListBullet"/>
      </w:pPr>
      <w:r>
        <w:t>Pre-existing conditions present within 5 years before cover start may be excluded.</w:t>
      </w:r>
    </w:p>
    <w:p>
      <w:pPr>
        <w:pStyle w:val="ListBullet"/>
      </w:pPr>
      <w:r>
        <w:t>Members must be actively at work on the scheme entry date (Active Employment Clause).</w:t>
      </w:r>
    </w:p>
    <w:p>
      <w:pPr>
        <w:pStyle w:val="ListBullet"/>
      </w:pPr>
      <w:r>
        <w:t>HIV/AIDS is only covered if contracted through blood transfusion, assault, or occupation.</w:t>
      </w:r>
    </w:p>
    <w:p>
      <w:pPr>
        <w:pStyle w:val="ListBullet"/>
      </w:pPr>
      <w:r>
        <w:t>Conditions arising from deliberate self-harm or substance abuse are excluded.</w:t>
      </w:r>
    </w:p>
    <w:p>
      <w:pPr>
        <w:pStyle w:val="ListBullet"/>
      </w:pPr>
      <w:r>
        <w:t>Worldwide coverage applies, but UK medical evidence is required for all claims.</w:t>
      </w:r>
    </w:p>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6F36A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F36A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F36A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