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RSM UK Pension Fund</w:t>
      </w:r>
    </w:p>
    <w:p>
      <w:r>
        <w:rPr>
          <w:i/>
          <w:color w:val="056970"/>
          <w:sz w:val="24"/>
        </w:rPr>
        <w:t>Benefit Specification 2022/2023</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RSM UK Pension Fund</w:t>
            </w:r>
          </w:p>
        </w:tc>
      </w:tr>
      <w:tr>
        <w:tc>
          <w:tcPr>
            <w:tcW w:type="dxa" w:w="4680"/>
          </w:tcPr>
          <w:p>
            <w:r>
              <w:rPr>
                <w:sz w:val="20"/>
              </w:rPr>
              <w:t>Sponsor Employer</w:t>
            </w:r>
          </w:p>
        </w:tc>
        <w:tc>
          <w:tcPr>
            <w:tcW w:type="dxa" w:w="4680"/>
          </w:tcPr>
          <w:p>
            <w:r>
              <w:rPr>
                <w:sz w:val="20"/>
              </w:rPr>
              <w:t>RSM UK Holdings Limited</w:t>
            </w:r>
          </w:p>
        </w:tc>
      </w:tr>
      <w:tr>
        <w:tc>
          <w:tcPr>
            <w:tcW w:type="dxa" w:w="4680"/>
          </w:tcPr>
          <w:p>
            <w:r>
              <w:rPr>
                <w:sz w:val="20"/>
              </w:rPr>
              <w:t>Scheme Type</w:t>
            </w:r>
          </w:p>
        </w:tc>
        <w:tc>
          <w:tcPr>
            <w:tcW w:type="dxa" w:w="4680"/>
          </w:tcPr>
          <w:p>
            <w:r>
              <w:rPr>
                <w:sz w:val="20"/>
              </w:rPr>
              <w:t>Defined Benefit - Final Salary (Closed)</w:t>
            </w:r>
          </w:p>
        </w:tc>
      </w:tr>
      <w:tr>
        <w:tc>
          <w:tcPr>
            <w:tcW w:type="dxa" w:w="4680"/>
          </w:tcPr>
          <w:p>
            <w:r>
              <w:rPr>
                <w:sz w:val="20"/>
              </w:rPr>
              <w:t>Scheme Status</w:t>
            </w:r>
          </w:p>
        </w:tc>
        <w:tc>
          <w:tcPr>
            <w:tcW w:type="dxa" w:w="4680"/>
          </w:tcPr>
          <w:p>
            <w:r>
              <w:rPr>
                <w:sz w:val="20"/>
              </w:rPr>
              <w:t>Closed to new entrants and future accrual</w:t>
            </w:r>
          </w:p>
        </w:tc>
      </w:tr>
      <w:tr>
        <w:tc>
          <w:tcPr>
            <w:tcW w:type="dxa" w:w="4680"/>
          </w:tcPr>
          <w:p>
            <w:r>
              <w:rPr>
                <w:sz w:val="20"/>
              </w:rPr>
              <w:t>Trustee</w:t>
            </w:r>
          </w:p>
        </w:tc>
        <w:tc>
          <w:tcPr>
            <w:tcW w:type="dxa" w:w="4680"/>
          </w:tcPr>
          <w:p>
            <w:r>
              <w:rPr>
                <w:sz w:val="20"/>
              </w:rPr>
              <w:t>RSM UK Pension Trustee Limited</w:t>
            </w:r>
          </w:p>
        </w:tc>
      </w:tr>
      <w:tr>
        <w:tc>
          <w:tcPr>
            <w:tcW w:type="dxa" w:w="4680"/>
          </w:tcPr>
          <w:p>
            <w:r>
              <w:rPr>
                <w:sz w:val="20"/>
              </w:rPr>
              <w:t>Administrator</w:t>
            </w:r>
          </w:p>
        </w:tc>
        <w:tc>
          <w:tcPr>
            <w:tcW w:type="dxa" w:w="4680"/>
          </w:tcPr>
          <w:p>
            <w:r>
              <w:rPr>
                <w:sz w:val="20"/>
              </w:rPr>
              <w:t>XPS Pensions</w:t>
            </w:r>
          </w:p>
        </w:tc>
      </w:tr>
      <w:tr>
        <w:tc>
          <w:tcPr>
            <w:tcW w:type="dxa" w:w="4680"/>
          </w:tcPr>
          <w:p>
            <w:r>
              <w:rPr>
                <w:sz w:val="20"/>
              </w:rPr>
              <w:t>Document Year</w:t>
            </w:r>
          </w:p>
        </w:tc>
        <w:tc>
          <w:tcPr>
            <w:tcW w:type="dxa" w:w="4680"/>
          </w:tcPr>
          <w:p>
            <w:r>
              <w:rPr>
                <w:sz w:val="20"/>
              </w:rPr>
              <w:t>2022</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1/60th of Final Pensionable Salary per year of service</w:t>
            </w:r>
          </w:p>
        </w:tc>
      </w:tr>
      <w:tr>
        <w:tc>
          <w:tcPr>
            <w:tcW w:type="dxa" w:w="4680"/>
          </w:tcPr>
          <w:p>
            <w:r>
              <w:rPr>
                <w:sz w:val="20"/>
              </w:rPr>
              <w:t>Normal Retirement Age</w:t>
            </w:r>
          </w:p>
        </w:tc>
        <w:tc>
          <w:tcPr>
            <w:tcW w:type="dxa" w:w="4680"/>
          </w:tcPr>
          <w:p>
            <w:r>
              <w:rPr>
                <w:sz w:val="20"/>
              </w:rPr>
              <w:t>65</w:t>
            </w:r>
          </w:p>
        </w:tc>
      </w:tr>
      <w:tr>
        <w:tc>
          <w:tcPr>
            <w:tcW w:type="dxa" w:w="4680"/>
          </w:tcPr>
          <w:p>
            <w:r>
              <w:rPr>
                <w:sz w:val="20"/>
              </w:rPr>
              <w:t>Spouse's Pension</w:t>
            </w:r>
          </w:p>
        </w:tc>
        <w:tc>
          <w:tcPr>
            <w:tcW w:type="dxa" w:w="4680"/>
          </w:tcPr>
          <w:p>
            <w:r>
              <w:rPr>
                <w:sz w:val="20"/>
              </w:rPr>
              <w:t>50% of member's pension</w:t>
            </w:r>
          </w:p>
        </w:tc>
      </w:tr>
      <w:tr>
        <w:tc>
          <w:tcPr>
            <w:tcW w:type="dxa" w:w="4680"/>
          </w:tcPr>
          <w:p>
            <w:r>
              <w:rPr>
                <w:sz w:val="20"/>
              </w:rPr>
              <w:t>Pension Indexation in Payment</w:t>
            </w:r>
          </w:p>
        </w:tc>
        <w:tc>
          <w:tcPr>
            <w:tcW w:type="dxa" w:w="4680"/>
          </w:tcPr>
          <w:p>
            <w:r>
              <w:rPr>
                <w:sz w:val="20"/>
              </w:rPr>
              <w:t>CPI capped at 5% p.a.</w:t>
            </w:r>
          </w:p>
        </w:tc>
      </w:tr>
      <w:tr>
        <w:tc>
          <w:tcPr>
            <w:tcW w:type="dxa" w:w="4680"/>
          </w:tcPr>
          <w:p>
            <w:r>
              <w:rPr>
                <w:sz w:val="20"/>
              </w:rPr>
              <w:t>Revaluation in Deferment</w:t>
            </w:r>
          </w:p>
        </w:tc>
        <w:tc>
          <w:tcPr>
            <w:tcW w:type="dxa" w:w="4680"/>
          </w:tcPr>
          <w:p>
            <w:r>
              <w:rPr>
                <w:sz w:val="20"/>
              </w:rPr>
              <w:t>Statutory (CPI capped at 2.5% p.a.)</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Lane Clark &amp; Peacock</w:t>
            </w:r>
          </w:p>
        </w:tc>
      </w:tr>
      <w:tr>
        <w:tc>
          <w:tcPr>
            <w:tcW w:type="dxa" w:w="4680"/>
          </w:tcPr>
          <w:p>
            <w:r>
              <w:rPr>
                <w:sz w:val="20"/>
              </w:rPr>
              <w:t>Investment Manager</w:t>
            </w:r>
          </w:p>
        </w:tc>
        <w:tc>
          <w:tcPr>
            <w:tcW w:type="dxa" w:w="4680"/>
          </w:tcPr>
          <w:p>
            <w:r>
              <w:rPr>
                <w:sz w:val="20"/>
              </w:rPr>
              <w:t>Schroders</w:t>
            </w:r>
          </w:p>
        </w:tc>
      </w:tr>
      <w:tr>
        <w:tc>
          <w:tcPr>
            <w:tcW w:type="dxa" w:w="4680"/>
          </w:tcPr>
          <w:p>
            <w:r>
              <w:rPr>
                <w:sz w:val="20"/>
              </w:rPr>
              <w:t>PPF Levy</w:t>
            </w:r>
          </w:p>
        </w:tc>
        <w:tc>
          <w:tcPr>
            <w:tcW w:type="dxa" w:w="4680"/>
          </w:tcPr>
          <w:p>
            <w:r>
              <w:rPr>
                <w:sz w:val="20"/>
              </w:rPr>
              <w:t>GBP 74,800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