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RSM UK Pension Fund</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RSM UK Pension Fund</w:t>
            </w:r>
          </w:p>
        </w:tc>
      </w:tr>
      <w:tr>
        <w:tc>
          <w:tcPr>
            <w:tcW w:type="dxa" w:w="4680"/>
          </w:tcPr>
          <w:p>
            <w:r>
              <w:rPr>
                <w:sz w:val="20"/>
              </w:rPr>
              <w:t>Sponsor Employer</w:t>
            </w:r>
          </w:p>
        </w:tc>
        <w:tc>
          <w:tcPr>
            <w:tcW w:type="dxa" w:w="4680"/>
          </w:tcPr>
          <w:p>
            <w:r>
              <w:rPr>
                <w:sz w:val="20"/>
              </w:rPr>
              <w:t>RSM UK Holdings Limited</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RSM UK Pension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Lane Clark &amp; Peacock</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74,800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