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RSM UK Pension Fund</w:t>
      </w:r>
    </w:p>
    <w:p>
      <w:r>
        <w:rPr>
          <w:i/>
          <w:color w:val="056970"/>
          <w:sz w:val="24"/>
        </w:rPr>
        <w:t>Benefit Specification 2024/2025</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RSM UK Pension Fund</w:t>
            </w:r>
          </w:p>
        </w:tc>
      </w:tr>
      <w:tr>
        <w:tc>
          <w:tcPr>
            <w:tcW w:type="dxa" w:w="4680"/>
          </w:tcPr>
          <w:p>
            <w:r>
              <w:rPr>
                <w:sz w:val="20"/>
              </w:rPr>
              <w:t>Sponsor Employer</w:t>
            </w:r>
          </w:p>
        </w:tc>
        <w:tc>
          <w:tcPr>
            <w:tcW w:type="dxa" w:w="4680"/>
          </w:tcPr>
          <w:p>
            <w:r>
              <w:rPr>
                <w:sz w:val="20"/>
              </w:rPr>
              <w:t>RSM UK Holdings Limited</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RSM UK Pension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2024</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Lane Clark &amp; Peacock</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74,800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