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RSM UK Pension Fund</w:t>
      </w:r>
    </w:p>
    <w:p>
      <w:r>
        <w:rPr>
          <w:i/>
          <w:color w:val="056970"/>
          <w:sz w:val="24"/>
        </w:rPr>
        <w:t>Benefit Specification 2025/2026</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RSM UK Pension Fund</w:t>
            </w:r>
          </w:p>
        </w:tc>
      </w:tr>
      <w:tr>
        <w:tc>
          <w:tcPr>
            <w:tcW w:type="dxa" w:w="4680"/>
          </w:tcPr>
          <w:p>
            <w:r>
              <w:rPr>
                <w:sz w:val="20"/>
              </w:rPr>
              <w:t>Sponsor Employer</w:t>
            </w:r>
          </w:p>
        </w:tc>
        <w:tc>
          <w:tcPr>
            <w:tcW w:type="dxa" w:w="4680"/>
          </w:tcPr>
          <w:p>
            <w:r>
              <w:rPr>
                <w:sz w:val="20"/>
              </w:rPr>
              <w:t>RSM UK Holdings Limited</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and future accrual</w:t>
            </w:r>
          </w:p>
        </w:tc>
      </w:tr>
      <w:tr>
        <w:tc>
          <w:tcPr>
            <w:tcW w:type="dxa" w:w="4680"/>
          </w:tcPr>
          <w:p>
            <w:r>
              <w:rPr>
                <w:sz w:val="20"/>
              </w:rPr>
              <w:t>Trustee</w:t>
            </w:r>
          </w:p>
        </w:tc>
        <w:tc>
          <w:tcPr>
            <w:tcW w:type="dxa" w:w="4680"/>
          </w:tcPr>
          <w:p>
            <w:r>
              <w:rPr>
                <w:sz w:val="20"/>
              </w:rPr>
              <w:t>RSM UK Pension Trustee Limited</w:t>
            </w:r>
          </w:p>
        </w:tc>
      </w:tr>
      <w:tr>
        <w:tc>
          <w:tcPr>
            <w:tcW w:type="dxa" w:w="4680"/>
          </w:tcPr>
          <w:p>
            <w:r>
              <w:rPr>
                <w:sz w:val="20"/>
              </w:rPr>
              <w:t>Administrator</w:t>
            </w:r>
          </w:p>
        </w:tc>
        <w:tc>
          <w:tcPr>
            <w:tcW w:type="dxa" w:w="4680"/>
          </w:tcPr>
          <w:p>
            <w:r>
              <w:rPr>
                <w:sz w:val="20"/>
              </w:rPr>
              <w:t>XPS Pensions</w:t>
            </w:r>
          </w:p>
        </w:tc>
      </w:tr>
      <w:tr>
        <w:tc>
          <w:tcPr>
            <w:tcW w:type="dxa" w:w="4680"/>
          </w:tcPr>
          <w:p>
            <w:r>
              <w:rPr>
                <w:sz w:val="20"/>
              </w:rPr>
              <w:t>Document Year</w:t>
            </w:r>
          </w:p>
        </w:tc>
        <w:tc>
          <w:tcPr>
            <w:tcW w:type="dxa" w:w="4680"/>
          </w:tcPr>
          <w:p>
            <w:r>
              <w:rPr>
                <w:sz w:val="20"/>
              </w:rPr>
              <w:t>2025</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w:t>
            </w:r>
          </w:p>
        </w:tc>
      </w:tr>
      <w:tr>
        <w:tc>
          <w:tcPr>
            <w:tcW w:type="dxa" w:w="4680"/>
          </w:tcPr>
          <w:p>
            <w:r>
              <w:rPr>
                <w:sz w:val="20"/>
              </w:rPr>
              <w:t>Revaluation in Deferment</w:t>
            </w:r>
          </w:p>
        </w:tc>
        <w:tc>
          <w:tcPr>
            <w:tcW w:type="dxa" w:w="4680"/>
          </w:tcPr>
          <w:p>
            <w:r>
              <w:rPr>
                <w:sz w:val="20"/>
              </w:rPr>
              <w:t>Statutory (CPI capped at 2.5% p.a.)</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Lane Clark &amp; Peacock</w:t>
            </w:r>
          </w:p>
        </w:tc>
      </w:tr>
      <w:tr>
        <w:tc>
          <w:tcPr>
            <w:tcW w:type="dxa" w:w="4680"/>
          </w:tcPr>
          <w:p>
            <w:r>
              <w:rPr>
                <w:sz w:val="20"/>
              </w:rPr>
              <w:t>Investment Manager</w:t>
            </w:r>
          </w:p>
        </w:tc>
        <w:tc>
          <w:tcPr>
            <w:tcW w:type="dxa" w:w="4680"/>
          </w:tcPr>
          <w:p>
            <w:r>
              <w:rPr>
                <w:sz w:val="20"/>
              </w:rPr>
              <w:t>Schroders</w:t>
            </w:r>
          </w:p>
        </w:tc>
      </w:tr>
      <w:tr>
        <w:tc>
          <w:tcPr>
            <w:tcW w:type="dxa" w:w="4680"/>
          </w:tcPr>
          <w:p>
            <w:r>
              <w:rPr>
                <w:sz w:val="20"/>
              </w:rPr>
              <w:t>PPF Levy</w:t>
            </w:r>
          </w:p>
        </w:tc>
        <w:tc>
          <w:tcPr>
            <w:tcW w:type="dxa" w:w="4680"/>
          </w:tcPr>
          <w:p>
            <w:r>
              <w:rPr>
                <w:sz w:val="20"/>
              </w:rPr>
              <w:t>GBP 74,800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