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Spirax-Sarco Engineering Pension Plan</w:t>
      </w:r>
    </w:p>
    <w:p>
      <w:r>
        <w:rPr>
          <w:i/>
          <w:color w:val="056970"/>
          <w:sz w:val="24"/>
        </w:rPr>
        <w:t>Benefit Specification 2021/2022</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Spirax-Sarco Engineering Pension Plan</w:t>
            </w:r>
          </w:p>
        </w:tc>
      </w:tr>
      <w:tr>
        <w:tc>
          <w:tcPr>
            <w:tcW w:type="dxa" w:w="4680"/>
          </w:tcPr>
          <w:p>
            <w:r>
              <w:rPr>
                <w:sz w:val="20"/>
              </w:rPr>
              <w:t>Sponsor Employer</w:t>
            </w:r>
          </w:p>
        </w:tc>
        <w:tc>
          <w:tcPr>
            <w:tcW w:type="dxa" w:w="4680"/>
          </w:tcPr>
          <w:p>
            <w:r>
              <w:rPr>
                <w:sz w:val="20"/>
              </w:rPr>
              <w:t>Spirax-Sarco Engineering plc</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(2008) and future accrual (2017)</w:t>
            </w:r>
          </w:p>
        </w:tc>
      </w:tr>
      <w:tr>
        <w:tc>
          <w:tcPr>
            <w:tcW w:type="dxa" w:w="4680"/>
          </w:tcPr>
          <w:p>
            <w:r>
              <w:rPr>
                <w:sz w:val="20"/>
              </w:rPr>
              <w:t>Trustee</w:t>
            </w:r>
          </w:p>
        </w:tc>
        <w:tc>
          <w:tcPr>
            <w:tcW w:type="dxa" w:w="4680"/>
          </w:tcPr>
          <w:p>
            <w:r>
              <w:rPr>
                <w:sz w:val="20"/>
              </w:rPr>
              <w:t>Spirax-Sarco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2021</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CPI capped at 5% p.a. in deferment (statutory)</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Insight Investment</w:t>
            </w:r>
          </w:p>
        </w:tc>
      </w:tr>
      <w:tr>
        <w:tc>
          <w:tcPr>
            <w:tcW w:type="dxa" w:w="4680"/>
          </w:tcPr>
          <w:p>
            <w:r>
              <w:rPr>
                <w:sz w:val="20"/>
              </w:rPr>
              <w:t>PPF Levy</w:t>
            </w:r>
          </w:p>
        </w:tc>
        <w:tc>
          <w:tcPr>
            <w:tcW w:type="dxa" w:w="4680"/>
          </w:tcPr>
          <w:p>
            <w:r>
              <w:rPr>
                <w:sz w:val="20"/>
              </w:rPr>
              <w:t>GBP 98,400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