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Spirax-Sarco Engineering Pension Plan</w:t>
      </w:r>
    </w:p>
    <w:p>
      <w:r>
        <w:rPr>
          <w:i/>
          <w:color w:val="056970"/>
          <w:sz w:val="24"/>
        </w:rPr>
        <w:t>Benefit Specification 2025/2026</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Spirax-Sarco Engineering Pension Plan</w:t>
            </w:r>
          </w:p>
        </w:tc>
      </w:tr>
      <w:tr>
        <w:tc>
          <w:tcPr>
            <w:tcW w:type="dxa" w:w="4680"/>
          </w:tcPr>
          <w:p>
            <w:r>
              <w:rPr>
                <w:sz w:val="20"/>
              </w:rPr>
              <w:t>Sponsor Employer</w:t>
            </w:r>
          </w:p>
        </w:tc>
        <w:tc>
          <w:tcPr>
            <w:tcW w:type="dxa" w:w="4680"/>
          </w:tcPr>
          <w:p>
            <w:r>
              <w:rPr>
                <w:sz w:val="20"/>
              </w:rPr>
              <w:t>Spirax-Sarco Engineering plc</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(2008) and future accrual (2017)</w:t>
            </w:r>
          </w:p>
        </w:tc>
      </w:tr>
      <w:tr>
        <w:tc>
          <w:tcPr>
            <w:tcW w:type="dxa" w:w="4680"/>
          </w:tcPr>
          <w:p>
            <w:r>
              <w:rPr>
                <w:sz w:val="20"/>
              </w:rPr>
              <w:t>Trustee</w:t>
            </w:r>
          </w:p>
        </w:tc>
        <w:tc>
          <w:tcPr>
            <w:tcW w:type="dxa" w:w="4680"/>
          </w:tcPr>
          <w:p>
            <w:r>
              <w:rPr>
                <w:sz w:val="20"/>
              </w:rPr>
              <w:t>Spirax-Sarco Pension Trustees Limited</w:t>
            </w:r>
          </w:p>
        </w:tc>
      </w:tr>
      <w:tr>
        <w:tc>
          <w:tcPr>
            <w:tcW w:type="dxa" w:w="4680"/>
          </w:tcPr>
          <w:p>
            <w:r>
              <w:rPr>
                <w:sz w:val="20"/>
              </w:rPr>
              <w:t>Administrator</w:t>
            </w:r>
          </w:p>
        </w:tc>
        <w:tc>
          <w:tcPr>
            <w:tcW w:type="dxa" w:w="4680"/>
          </w:tcPr>
          <w:p>
            <w:r>
              <w:rPr>
                <w:sz w:val="20"/>
              </w:rPr>
              <w:t>Aptia</w:t>
            </w:r>
          </w:p>
        </w:tc>
      </w:tr>
      <w:tr>
        <w:tc>
          <w:tcPr>
            <w:tcW w:type="dxa" w:w="4680"/>
          </w:tcPr>
          <w:p>
            <w:r>
              <w:rPr>
                <w:sz w:val="20"/>
              </w:rPr>
              <w:t>Document Year</w:t>
            </w:r>
          </w:p>
        </w:tc>
        <w:tc>
          <w:tcPr>
            <w:tcW w:type="dxa" w:w="4680"/>
          </w:tcPr>
          <w:p>
            <w:r>
              <w:rPr>
                <w:sz w:val="20"/>
              </w:rPr>
              <w:t>2025</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CPI capped at 5% p.a. in deferment (statutory)</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Mercer Limited</w:t>
            </w:r>
          </w:p>
        </w:tc>
      </w:tr>
      <w:tr>
        <w:tc>
          <w:tcPr>
            <w:tcW w:type="dxa" w:w="4680"/>
          </w:tcPr>
          <w:p>
            <w:r>
              <w:rPr>
                <w:sz w:val="20"/>
              </w:rPr>
              <w:t>Investment Manager</w:t>
            </w:r>
          </w:p>
        </w:tc>
        <w:tc>
          <w:tcPr>
            <w:tcW w:type="dxa" w:w="4680"/>
          </w:tcPr>
          <w:p>
            <w:r>
              <w:rPr>
                <w:sz w:val="20"/>
              </w:rPr>
              <w:t>Insight Investment</w:t>
            </w:r>
          </w:p>
        </w:tc>
      </w:tr>
      <w:tr>
        <w:tc>
          <w:tcPr>
            <w:tcW w:type="dxa" w:w="4680"/>
          </w:tcPr>
          <w:p>
            <w:r>
              <w:rPr>
                <w:sz w:val="20"/>
              </w:rPr>
              <w:t>PPF Levy</w:t>
            </w:r>
          </w:p>
        </w:tc>
        <w:tc>
          <w:tcPr>
            <w:tcW w:type="dxa" w:w="4680"/>
          </w:tcPr>
          <w:p>
            <w:r>
              <w:rPr>
                <w:sz w:val="20"/>
              </w:rPr>
              <w:t>GBP 98,400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